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F5CF" w14:textId="1010CAE2" w:rsidR="009B2785" w:rsidRDefault="00670B81" w:rsidP="009B2785">
      <w:pPr>
        <w:jc w:val="center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sz w:val="32"/>
        </w:rPr>
        <w:t xml:space="preserve">New Vaccine Introduction Prioritization and Sequencing Exercise in </w:t>
      </w:r>
      <w:r w:rsidR="00FF20CF" w:rsidRPr="00670B81">
        <w:rPr>
          <w:rFonts w:ascii="Arial" w:hAnsi="Arial" w:cs="Arial"/>
          <w:b/>
          <w:color w:val="C00000"/>
          <w:sz w:val="32"/>
        </w:rPr>
        <w:t>&lt;</w:t>
      </w:r>
      <w:r w:rsidRPr="00670B81">
        <w:rPr>
          <w:rFonts w:ascii="Arial" w:hAnsi="Arial" w:cs="Arial"/>
          <w:b/>
          <w:color w:val="C00000"/>
          <w:sz w:val="32"/>
        </w:rPr>
        <w:t xml:space="preserve">insert </w:t>
      </w:r>
      <w:r w:rsidRPr="00FF20CF">
        <w:rPr>
          <w:rFonts w:ascii="Arial" w:hAnsi="Arial" w:cs="Arial"/>
          <w:b/>
          <w:color w:val="C00000"/>
          <w:sz w:val="32"/>
        </w:rPr>
        <w:t>country</w:t>
      </w:r>
      <w:r w:rsidR="00FF20CF">
        <w:rPr>
          <w:rFonts w:ascii="Arial" w:hAnsi="Arial" w:cs="Arial"/>
          <w:b/>
          <w:color w:val="C00000"/>
          <w:sz w:val="32"/>
        </w:rPr>
        <w:t>&gt;</w:t>
      </w:r>
      <w:r>
        <w:rPr>
          <w:rFonts w:ascii="Arial" w:hAnsi="Arial" w:cs="Arial"/>
          <w:b/>
          <w:color w:val="C00000"/>
          <w:sz w:val="32"/>
        </w:rPr>
        <w:t>:</w:t>
      </w:r>
    </w:p>
    <w:p w14:paraId="26C58BC9" w14:textId="3C34A290" w:rsidR="00670B81" w:rsidRPr="00975025" w:rsidRDefault="00670B81" w:rsidP="009B2785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670B81">
        <w:rPr>
          <w:rFonts w:ascii="Arial" w:hAnsi="Arial" w:cs="Arial"/>
          <w:b/>
          <w:color w:val="000000" w:themeColor="text1"/>
          <w:sz w:val="32"/>
        </w:rPr>
        <w:t>Terms of Reference</w:t>
      </w:r>
    </w:p>
    <w:p w14:paraId="4CD3FBE9" w14:textId="77777777" w:rsidR="009B2785" w:rsidRPr="00975025" w:rsidRDefault="009B2785" w:rsidP="009B2785">
      <w:pPr>
        <w:jc w:val="center"/>
        <w:rPr>
          <w:rFonts w:ascii="Arial" w:hAnsi="Arial" w:cs="Arial"/>
          <w:sz w:val="28"/>
        </w:rPr>
      </w:pPr>
    </w:p>
    <w:p w14:paraId="2BC2A29F" w14:textId="6F43ED48" w:rsidR="00FF20CF" w:rsidRPr="00975025" w:rsidRDefault="009B2785" w:rsidP="00670B81">
      <w:pPr>
        <w:pStyle w:val="Heading4"/>
        <w:spacing w:after="240"/>
        <w:jc w:val="both"/>
        <w:rPr>
          <w:rFonts w:ascii="Arial" w:hAnsi="Arial" w:cs="Arial"/>
          <w:b/>
          <w:i w:val="0"/>
          <w:color w:val="auto"/>
        </w:rPr>
      </w:pPr>
      <w:r w:rsidRPr="005E0F50">
        <w:rPr>
          <w:rFonts w:ascii="Arial" w:hAnsi="Arial" w:cs="Arial"/>
          <w:b/>
          <w:i w:val="0"/>
          <w:color w:val="auto"/>
        </w:rPr>
        <w:t>Background and purpose</w:t>
      </w:r>
    </w:p>
    <w:p w14:paraId="6C9F95EE" w14:textId="1E89FADD" w:rsidR="00FF20CF" w:rsidRDefault="00FF20CF" w:rsidP="00FF20CF">
      <w:pPr>
        <w:jc w:val="both"/>
        <w:rPr>
          <w:rFonts w:ascii="Arial" w:hAnsi="Arial" w:cs="Arial"/>
        </w:rPr>
      </w:pPr>
      <w:r w:rsidRPr="00FF20CF">
        <w:rPr>
          <w:rFonts w:ascii="Arial" w:hAnsi="Arial" w:cs="Arial"/>
        </w:rPr>
        <w:t>Gavi-supported countries</w:t>
      </w:r>
      <w:r>
        <w:rPr>
          <w:rFonts w:ascii="Arial" w:hAnsi="Arial" w:cs="Arial"/>
        </w:rPr>
        <w:t xml:space="preserve"> </w:t>
      </w:r>
      <w:r w:rsidRPr="00FF20CF">
        <w:rPr>
          <w:rFonts w:ascii="Arial" w:hAnsi="Arial" w:cs="Arial"/>
        </w:rPr>
        <w:t xml:space="preserve">can currently apply for </w:t>
      </w:r>
      <w:r w:rsidR="00975025">
        <w:rPr>
          <w:rFonts w:ascii="Arial" w:hAnsi="Arial" w:cs="Arial"/>
        </w:rPr>
        <w:t>seventeen</w:t>
      </w:r>
      <w:r w:rsidRPr="00FF20CF">
        <w:rPr>
          <w:rFonts w:ascii="Arial" w:hAnsi="Arial" w:cs="Arial"/>
        </w:rPr>
        <w:t xml:space="preserve"> vaccine programs</w:t>
      </w:r>
      <w:r w:rsidRPr="00FF20CF">
        <w:rPr>
          <w:rFonts w:ascii="Arial" w:hAnsi="Arial" w:cs="Arial"/>
          <w:vertAlign w:val="superscript"/>
        </w:rPr>
        <w:footnoteReference w:id="1"/>
      </w:r>
      <w:r w:rsidRPr="00FF20CF">
        <w:rPr>
          <w:rFonts w:ascii="Arial" w:hAnsi="Arial" w:cs="Arial"/>
        </w:rPr>
        <w:t xml:space="preserve">. As countries undertake the development and implementation of their National Immunization Strategy (NIS) as recommended by the WHO and additionally for some, a Full Portfolio Planning (FPP) as requested by Gavi, the Vaccine Alliance, they must consider which new vaccines to add to a national immunization program and the order they want to introduce them (new vaccine introduction </w:t>
      </w:r>
      <w:r w:rsidR="00383FD2">
        <w:rPr>
          <w:rFonts w:ascii="Arial" w:hAnsi="Arial" w:cs="Arial"/>
        </w:rPr>
        <w:t xml:space="preserve">(NVI) </w:t>
      </w:r>
      <w:r w:rsidRPr="00FF20CF">
        <w:rPr>
          <w:rFonts w:ascii="Arial" w:hAnsi="Arial" w:cs="Arial"/>
        </w:rPr>
        <w:t xml:space="preserve">prioritization and sequencing), as well as the optimization of existing vaccine programs by assessing change to vaccine products/presentations, schedules, and/or delivery strategies. </w:t>
      </w:r>
      <w:r w:rsidRPr="005E0F50">
        <w:rPr>
          <w:rFonts w:ascii="Arial" w:hAnsi="Arial" w:cs="Arial"/>
        </w:rPr>
        <w:t xml:space="preserve">For most countries, there are many new vaccines to consider with varying impacts on morbidity and mortality attributable to vaccine-preventable diseases, lives saved, health system cost savings, and feasibility/programmatic complexities. </w:t>
      </w:r>
    </w:p>
    <w:p w14:paraId="36C16144" w14:textId="2C4880EA" w:rsidR="009B2785" w:rsidRDefault="00FF20CF" w:rsidP="009B2785">
      <w:pPr>
        <w:jc w:val="both"/>
        <w:rPr>
          <w:rFonts w:ascii="Arial" w:hAnsi="Arial" w:cs="Arial"/>
        </w:rPr>
      </w:pPr>
      <w:r w:rsidRPr="00FF20CF">
        <w:rPr>
          <w:rFonts w:ascii="Arial" w:hAnsi="Arial" w:cs="Arial"/>
        </w:rPr>
        <w:t>The political process of intro</w:t>
      </w:r>
      <w:r>
        <w:rPr>
          <w:rFonts w:ascii="Arial" w:hAnsi="Arial" w:cs="Arial"/>
        </w:rPr>
        <w:t>d</w:t>
      </w:r>
      <w:r w:rsidRPr="00FF20CF">
        <w:rPr>
          <w:rFonts w:ascii="Arial" w:hAnsi="Arial" w:cs="Arial"/>
        </w:rPr>
        <w:t xml:space="preserve">ucing new vaccines in a country involves government and policymakers deciding on vaccine approval, distribution, and administration. In most countries, the National Immunization Technical Advisory Groups (NITAGs) are responsible for providing evidence-based recommendations to guide this decision-making, with the national immunization program as a key collaborator. Historically, most NITAGs review each new vaccine introduction individually, resulting in a recommended list of several new vaccines to be introduced over a short period without </w:t>
      </w:r>
      <w:r>
        <w:rPr>
          <w:rFonts w:ascii="Arial" w:hAnsi="Arial" w:cs="Arial"/>
        </w:rPr>
        <w:t>undertaking a</w:t>
      </w:r>
      <w:r w:rsidRPr="00FF20CF">
        <w:rPr>
          <w:rFonts w:ascii="Arial" w:hAnsi="Arial" w:cs="Arial"/>
        </w:rPr>
        <w:t xml:space="preserve"> prioritization exercise that also consider</w:t>
      </w:r>
      <w:r>
        <w:rPr>
          <w:rFonts w:ascii="Arial" w:hAnsi="Arial" w:cs="Arial"/>
        </w:rPr>
        <w:t>s</w:t>
      </w:r>
      <w:r w:rsidRPr="00FF20CF">
        <w:rPr>
          <w:rFonts w:ascii="Arial" w:hAnsi="Arial" w:cs="Arial"/>
        </w:rPr>
        <w:t xml:space="preserve"> the overall consequences on the financing, cold chain capacity and program delivery. </w:t>
      </w:r>
    </w:p>
    <w:p w14:paraId="77E50036" w14:textId="77777777" w:rsidR="00FF20CF" w:rsidRPr="00975025" w:rsidRDefault="00FF20CF" w:rsidP="00975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critical input to both the NIS and FPP, a thorough prioritization and sequencing process is needed to make these recommendations and </w:t>
      </w:r>
      <w:r w:rsidRPr="00975025">
        <w:rPr>
          <w:rFonts w:ascii="Arial" w:hAnsi="Arial" w:cs="Arial"/>
        </w:rPr>
        <w:t xml:space="preserve">inform decision-making based on analysis of its epidemiological context, the capacity of its health system to absorb and maintain such introduction and the resources available. </w:t>
      </w:r>
    </w:p>
    <w:p w14:paraId="611B481A" w14:textId="70DFC77D" w:rsidR="007D3AA2" w:rsidRDefault="00FF20CF" w:rsidP="00670B81">
      <w:pPr>
        <w:jc w:val="both"/>
        <w:rPr>
          <w:rFonts w:ascii="Arial" w:hAnsi="Arial" w:cs="Arial"/>
          <w:i/>
          <w:iCs/>
          <w:color w:val="C00000"/>
        </w:rPr>
      </w:pPr>
      <w:r w:rsidRPr="00FF20CF">
        <w:rPr>
          <w:rFonts w:ascii="Arial" w:hAnsi="Arial" w:cs="Arial"/>
          <w:i/>
          <w:iCs/>
          <w:color w:val="C00000"/>
        </w:rPr>
        <w:t xml:space="preserve">Add overview of </w:t>
      </w:r>
      <w:proofErr w:type="gramStart"/>
      <w:r w:rsidRPr="00FF20CF">
        <w:rPr>
          <w:rFonts w:ascii="Arial" w:hAnsi="Arial" w:cs="Arial"/>
          <w:i/>
          <w:iCs/>
          <w:color w:val="C00000"/>
        </w:rPr>
        <w:t>current status</w:t>
      </w:r>
      <w:proofErr w:type="gramEnd"/>
      <w:r w:rsidRPr="00FF20CF">
        <w:rPr>
          <w:rFonts w:ascii="Arial" w:hAnsi="Arial" w:cs="Arial"/>
          <w:i/>
          <w:iCs/>
          <w:color w:val="C00000"/>
        </w:rPr>
        <w:t xml:space="preserve"> of new vaccine introductions in the country, upcoming needs, and timeline.</w:t>
      </w:r>
    </w:p>
    <w:p w14:paraId="7892F7A5" w14:textId="77777777" w:rsidR="00670B81" w:rsidRPr="00670B81" w:rsidRDefault="00670B81" w:rsidP="00670B81">
      <w:pPr>
        <w:jc w:val="both"/>
        <w:rPr>
          <w:rFonts w:ascii="Arial" w:hAnsi="Arial" w:cs="Arial"/>
          <w:i/>
          <w:iCs/>
          <w:color w:val="C00000"/>
        </w:rPr>
      </w:pPr>
    </w:p>
    <w:p w14:paraId="6EA9EAF4" w14:textId="77777777" w:rsidR="007D3AA2" w:rsidRPr="00975025" w:rsidRDefault="007D3AA2" w:rsidP="007D3AA2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DB6673">
        <w:rPr>
          <w:rFonts w:ascii="Arial" w:hAnsi="Arial" w:cs="Arial"/>
          <w:b/>
          <w:i w:val="0"/>
          <w:color w:val="auto"/>
        </w:rPr>
        <w:t>Partners</w:t>
      </w:r>
    </w:p>
    <w:p w14:paraId="07A786DC" w14:textId="77777777" w:rsidR="007D3AA2" w:rsidRPr="00975025" w:rsidRDefault="007D3AA2" w:rsidP="007D3AA2">
      <w:pPr>
        <w:spacing w:after="0" w:line="240" w:lineRule="auto"/>
      </w:pPr>
    </w:p>
    <w:p w14:paraId="40ED4EE8" w14:textId="54151307" w:rsidR="007D3AA2" w:rsidRPr="00975025" w:rsidRDefault="007D3AA2" w:rsidP="007D3AA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Include brief overview of partners selected</w:t>
      </w:r>
      <w:r w:rsidR="00670B81">
        <w:rPr>
          <w:rFonts w:ascii="Arial" w:hAnsi="Arial" w:cs="Arial"/>
          <w:i/>
          <w:iCs/>
          <w:color w:val="C00000"/>
        </w:rPr>
        <w:t xml:space="preserve"> and relevant roles and responsibilities.</w:t>
      </w:r>
    </w:p>
    <w:p w14:paraId="6DC82344" w14:textId="77777777" w:rsidR="007D3AA2" w:rsidRDefault="007D3AA2" w:rsidP="009B2785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</w:p>
    <w:p w14:paraId="0A723086" w14:textId="6AF901D4" w:rsidR="009B2785" w:rsidRPr="00975025" w:rsidRDefault="009B2785" w:rsidP="009B2785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2A2B9D">
        <w:rPr>
          <w:rFonts w:ascii="Arial" w:hAnsi="Arial" w:cs="Arial"/>
          <w:b/>
          <w:i w:val="0"/>
          <w:color w:val="auto"/>
        </w:rPr>
        <w:t>Scope of Work</w:t>
      </w:r>
    </w:p>
    <w:p w14:paraId="59BC298B" w14:textId="77777777" w:rsidR="009B2785" w:rsidRPr="00975025" w:rsidRDefault="009B2785" w:rsidP="009B2785">
      <w:pPr>
        <w:spacing w:after="0" w:line="240" w:lineRule="auto"/>
      </w:pPr>
    </w:p>
    <w:p w14:paraId="6E478399" w14:textId="03AF3F9D" w:rsidR="009B2785" w:rsidRPr="00975025" w:rsidRDefault="009B2785" w:rsidP="00383FD2">
      <w:pPr>
        <w:jc w:val="both"/>
        <w:rPr>
          <w:rFonts w:ascii="Arial" w:hAnsi="Arial" w:cs="Arial"/>
        </w:rPr>
      </w:pPr>
      <w:r w:rsidRPr="005E0F50">
        <w:rPr>
          <w:rFonts w:ascii="Arial" w:hAnsi="Arial" w:cs="Arial"/>
        </w:rPr>
        <w:t xml:space="preserve">The proposed project will provide technical expertise and capacity to support the </w:t>
      </w:r>
      <w:r w:rsidR="00383FD2" w:rsidRPr="00383FD2">
        <w:rPr>
          <w:rFonts w:ascii="Arial" w:hAnsi="Arial" w:cs="Arial"/>
          <w:color w:val="C00000"/>
        </w:rPr>
        <w:t>&lt;insert country name&gt;</w:t>
      </w:r>
      <w:r w:rsidR="00383FD2">
        <w:rPr>
          <w:rFonts w:ascii="Arial" w:hAnsi="Arial" w:cs="Arial"/>
        </w:rPr>
        <w:t xml:space="preserve"> </w:t>
      </w:r>
      <w:r w:rsidRPr="005E0F50">
        <w:rPr>
          <w:rFonts w:ascii="Arial" w:hAnsi="Arial" w:cs="Arial"/>
        </w:rPr>
        <w:t xml:space="preserve">NITAG </w:t>
      </w:r>
      <w:r w:rsidR="00383FD2">
        <w:rPr>
          <w:rFonts w:ascii="Arial" w:hAnsi="Arial" w:cs="Arial"/>
        </w:rPr>
        <w:t xml:space="preserve">and the national immunization program </w:t>
      </w:r>
      <w:r w:rsidRPr="005E0F50">
        <w:rPr>
          <w:rFonts w:ascii="Arial" w:hAnsi="Arial" w:cs="Arial"/>
        </w:rPr>
        <w:t xml:space="preserve">in the </w:t>
      </w:r>
      <w:r w:rsidR="00383FD2">
        <w:rPr>
          <w:rFonts w:ascii="Arial" w:hAnsi="Arial" w:cs="Arial"/>
        </w:rPr>
        <w:t xml:space="preserve">implementation of the NVI Prioritization and Sequencing Framework. This will include </w:t>
      </w:r>
      <w:r w:rsidR="00383FD2" w:rsidRPr="00383FD2">
        <w:rPr>
          <w:rFonts w:ascii="Arial" w:hAnsi="Arial" w:cs="Arial"/>
          <w:color w:val="C00000"/>
        </w:rPr>
        <w:t xml:space="preserve">&lt;choose from the following or add others: </w:t>
      </w:r>
      <w:r w:rsidR="00383FD2">
        <w:rPr>
          <w:rFonts w:ascii="Arial" w:hAnsi="Arial" w:cs="Arial"/>
          <w:color w:val="C00000"/>
        </w:rPr>
        <w:t>overseeing process</w:t>
      </w:r>
      <w:r w:rsidR="00383FD2" w:rsidRPr="00383FD2">
        <w:rPr>
          <w:rFonts w:ascii="Arial" w:hAnsi="Arial" w:cs="Arial"/>
          <w:color w:val="C00000"/>
        </w:rPr>
        <w:t xml:space="preserve"> design and</w:t>
      </w:r>
      <w:r w:rsidR="00383FD2">
        <w:rPr>
          <w:rFonts w:ascii="Arial" w:hAnsi="Arial" w:cs="Arial"/>
          <w:color w:val="C00000"/>
        </w:rPr>
        <w:t xml:space="preserve"> </w:t>
      </w:r>
      <w:r w:rsidR="00383FD2" w:rsidRPr="00383FD2">
        <w:rPr>
          <w:rFonts w:ascii="Arial" w:hAnsi="Arial" w:cs="Arial"/>
          <w:color w:val="C00000"/>
        </w:rPr>
        <w:t>stakeholder engagement</w:t>
      </w:r>
      <w:r w:rsidR="00383FD2">
        <w:rPr>
          <w:rFonts w:ascii="Arial" w:hAnsi="Arial" w:cs="Arial"/>
          <w:color w:val="C00000"/>
        </w:rPr>
        <w:t>, supporting the NITAG in adaptation of the framework to the country’s priorities, supporting data collection; facilitating the prioritization and sequencing process, and development of recommendations&gt;</w:t>
      </w:r>
      <w:r w:rsidRPr="005E0F50">
        <w:rPr>
          <w:rFonts w:ascii="Arial" w:hAnsi="Arial" w:cs="Arial"/>
        </w:rPr>
        <w:t>.</w:t>
      </w:r>
    </w:p>
    <w:p w14:paraId="48907CD7" w14:textId="3EDFFE27" w:rsidR="009B2785" w:rsidRPr="00975025" w:rsidRDefault="00383FD2" w:rsidP="009B2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Specific</w:t>
      </w:r>
      <w:r w:rsidR="009B2785" w:rsidRPr="005E0F50">
        <w:rPr>
          <w:rFonts w:ascii="Arial" w:hAnsi="Arial" w:cs="Arial"/>
        </w:rPr>
        <w:t xml:space="preserve"> activities to be carried out will include:</w:t>
      </w:r>
    </w:p>
    <w:p w14:paraId="26B856C6" w14:textId="77777777" w:rsidR="00383FD2" w:rsidRPr="00975025" w:rsidRDefault="00383FD2" w:rsidP="00383FD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</w:rPr>
      </w:pPr>
      <w:r w:rsidRPr="00383FD2">
        <w:rPr>
          <w:rFonts w:ascii="Arial" w:hAnsi="Arial" w:cs="Arial"/>
          <w:i/>
          <w:iCs/>
          <w:color w:val="C00000"/>
        </w:rPr>
        <w:t>List specific activities to be conducted, such as:</w:t>
      </w:r>
    </w:p>
    <w:p w14:paraId="34BF63C4" w14:textId="28DCA741" w:rsidR="007D3AA2" w:rsidRPr="007D3AA2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  <w:lang w:val="fr-FR"/>
        </w:rPr>
        <w:t>Manage all stakeholder engagement</w:t>
      </w:r>
      <w:r w:rsidR="00670B81">
        <w:rPr>
          <w:rFonts w:ascii="Arial" w:hAnsi="Arial" w:cs="Arial"/>
          <w:i/>
          <w:iCs/>
          <w:color w:val="C00000"/>
          <w:lang w:val="fr-FR"/>
        </w:rPr>
        <w:t>.</w:t>
      </w:r>
    </w:p>
    <w:p w14:paraId="71FACEBD" w14:textId="4E808168" w:rsidR="00383FD2" w:rsidRPr="00975025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 w:rsidRPr="00383FD2">
        <w:rPr>
          <w:rFonts w:ascii="Arial" w:hAnsi="Arial" w:cs="Arial"/>
          <w:i/>
          <w:iCs/>
          <w:color w:val="C00000"/>
        </w:rPr>
        <w:t xml:space="preserve">Host </w:t>
      </w:r>
      <w:r w:rsidR="00670B81">
        <w:rPr>
          <w:rFonts w:ascii="Arial" w:hAnsi="Arial" w:cs="Arial"/>
          <w:i/>
          <w:iCs/>
          <w:color w:val="C00000"/>
        </w:rPr>
        <w:t xml:space="preserve">an </w:t>
      </w:r>
      <w:r w:rsidRPr="00383FD2">
        <w:rPr>
          <w:rFonts w:ascii="Arial" w:hAnsi="Arial" w:cs="Arial"/>
          <w:i/>
          <w:iCs/>
          <w:color w:val="C00000"/>
        </w:rPr>
        <w:t>online meeting to</w:t>
      </w:r>
      <w:r w:rsidR="009B2785" w:rsidRPr="00383FD2">
        <w:rPr>
          <w:rFonts w:ascii="Arial" w:hAnsi="Arial" w:cs="Arial"/>
          <w:i/>
          <w:iCs/>
          <w:color w:val="C00000"/>
        </w:rPr>
        <w:t xml:space="preserve"> present the methodology and prioritization tool to the</w:t>
      </w:r>
      <w:r w:rsidRPr="00383FD2">
        <w:rPr>
          <w:rFonts w:ascii="Arial" w:hAnsi="Arial" w:cs="Arial"/>
          <w:i/>
          <w:iCs/>
          <w:color w:val="C00000"/>
        </w:rPr>
        <w:t xml:space="preserve"> NITAG</w:t>
      </w:r>
      <w:r w:rsidR="009B2785" w:rsidRPr="00383FD2">
        <w:rPr>
          <w:rFonts w:ascii="Arial" w:hAnsi="Arial" w:cs="Arial"/>
          <w:i/>
          <w:iCs/>
          <w:color w:val="C00000"/>
        </w:rPr>
        <w:t xml:space="preserve"> members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6A123279" w14:textId="5D57EC8D" w:rsidR="009B2785" w:rsidRPr="00975025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Prepare and share</w:t>
      </w:r>
      <w:r w:rsidRPr="00383FD2">
        <w:rPr>
          <w:rFonts w:ascii="Arial" w:hAnsi="Arial" w:cs="Arial"/>
          <w:i/>
          <w:iCs/>
          <w:color w:val="C00000"/>
        </w:rPr>
        <w:t xml:space="preserve"> a voting form to provide input on adapting the framework</w:t>
      </w:r>
      <w:r>
        <w:rPr>
          <w:rFonts w:ascii="Arial" w:hAnsi="Arial" w:cs="Arial"/>
          <w:i/>
          <w:iCs/>
          <w:color w:val="C00000"/>
        </w:rPr>
        <w:t xml:space="preserve"> to country priorities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1E10B8E3" w14:textId="113FF2F2" w:rsidR="009B2785" w:rsidRPr="00975025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 xml:space="preserve">Host the Framework Adaptation Workshop </w:t>
      </w:r>
      <w:r w:rsidR="009B2785" w:rsidRPr="00383FD2">
        <w:rPr>
          <w:rFonts w:ascii="Arial" w:hAnsi="Arial" w:cs="Arial"/>
          <w:i/>
          <w:iCs/>
          <w:color w:val="C00000"/>
        </w:rPr>
        <w:t xml:space="preserve">to launch the process and reach consensus on </w:t>
      </w:r>
      <w:r>
        <w:rPr>
          <w:rFonts w:ascii="Arial" w:hAnsi="Arial" w:cs="Arial"/>
          <w:i/>
          <w:iCs/>
          <w:color w:val="C00000"/>
        </w:rPr>
        <w:t xml:space="preserve">the timeframe to be considered, vaccines to be considered, and </w:t>
      </w:r>
      <w:r w:rsidR="009B2785" w:rsidRPr="00383FD2">
        <w:rPr>
          <w:rFonts w:ascii="Arial" w:hAnsi="Arial" w:cs="Arial"/>
          <w:i/>
          <w:iCs/>
          <w:color w:val="C00000"/>
        </w:rPr>
        <w:t>the various criteria to be retained</w:t>
      </w:r>
      <w:r>
        <w:rPr>
          <w:rFonts w:ascii="Arial" w:hAnsi="Arial" w:cs="Arial"/>
          <w:i/>
          <w:iCs/>
          <w:color w:val="C00000"/>
        </w:rPr>
        <w:t xml:space="preserve"> for prioritization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36717C31" w14:textId="296340F2" w:rsidR="009B2785" w:rsidRPr="00975025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Oversee d</w:t>
      </w:r>
      <w:r w:rsidR="009B2785" w:rsidRPr="00383FD2">
        <w:rPr>
          <w:rFonts w:ascii="Arial" w:hAnsi="Arial" w:cs="Arial"/>
          <w:i/>
          <w:iCs/>
          <w:color w:val="C00000"/>
        </w:rPr>
        <w:t xml:space="preserve">ata </w:t>
      </w:r>
      <w:r w:rsidR="00670B81">
        <w:rPr>
          <w:rFonts w:ascii="Arial" w:hAnsi="Arial" w:cs="Arial"/>
          <w:i/>
          <w:iCs/>
          <w:color w:val="C00000"/>
        </w:rPr>
        <w:t xml:space="preserve">collection and preparation </w:t>
      </w:r>
      <w:r w:rsidR="009B2785" w:rsidRPr="00383FD2">
        <w:rPr>
          <w:rFonts w:ascii="Arial" w:hAnsi="Arial" w:cs="Arial"/>
          <w:i/>
          <w:iCs/>
          <w:color w:val="C00000"/>
        </w:rPr>
        <w:t xml:space="preserve">(based on the </w:t>
      </w:r>
      <w:r w:rsidR="00383FD2">
        <w:rPr>
          <w:rFonts w:ascii="Arial" w:hAnsi="Arial" w:cs="Arial"/>
          <w:i/>
          <w:iCs/>
          <w:color w:val="C00000"/>
        </w:rPr>
        <w:t>results of the Framework Adaptation Workshop)</w:t>
      </w:r>
      <w:r>
        <w:rPr>
          <w:rFonts w:ascii="Arial" w:hAnsi="Arial" w:cs="Arial"/>
          <w:i/>
          <w:iCs/>
          <w:color w:val="C00000"/>
        </w:rPr>
        <w:t>.</w:t>
      </w:r>
    </w:p>
    <w:p w14:paraId="3AB63686" w14:textId="5FBF51B0" w:rsidR="009B2785" w:rsidRPr="00975025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Host</w:t>
      </w:r>
      <w:r w:rsidR="009B2785" w:rsidRPr="00383FD2">
        <w:rPr>
          <w:rFonts w:ascii="Arial" w:hAnsi="Arial" w:cs="Arial"/>
          <w:i/>
          <w:iCs/>
          <w:color w:val="C00000"/>
        </w:rPr>
        <w:t xml:space="preserve"> a second workshop to </w:t>
      </w:r>
      <w:r>
        <w:rPr>
          <w:rFonts w:ascii="Arial" w:hAnsi="Arial" w:cs="Arial"/>
          <w:i/>
          <w:iCs/>
          <w:color w:val="C00000"/>
        </w:rPr>
        <w:t>evaluate the data</w:t>
      </w:r>
      <w:r w:rsidR="007D3AA2">
        <w:rPr>
          <w:rFonts w:ascii="Arial" w:hAnsi="Arial" w:cs="Arial"/>
          <w:i/>
          <w:iCs/>
          <w:color w:val="C00000"/>
        </w:rPr>
        <w:t xml:space="preserve"> and conduct</w:t>
      </w:r>
      <w:r w:rsidR="009B2785" w:rsidRPr="00383FD2">
        <w:rPr>
          <w:rFonts w:ascii="Arial" w:hAnsi="Arial" w:cs="Arial"/>
          <w:i/>
          <w:iCs/>
          <w:color w:val="C00000"/>
        </w:rPr>
        <w:t xml:space="preserve"> the prioritization and sequencing process.</w:t>
      </w:r>
    </w:p>
    <w:p w14:paraId="29030E04" w14:textId="163ACDA0" w:rsidR="00670B81" w:rsidRPr="00383FD2" w:rsidRDefault="00670B81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  <w:lang w:val="fr-FR"/>
        </w:rPr>
        <w:t>Document recommendations.</w:t>
      </w:r>
    </w:p>
    <w:p w14:paraId="7B567A88" w14:textId="765E3B25" w:rsidR="009B2785" w:rsidRPr="00975025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Manage r</w:t>
      </w:r>
      <w:r w:rsidR="009B2785" w:rsidRPr="00383FD2">
        <w:rPr>
          <w:rFonts w:ascii="Arial" w:hAnsi="Arial" w:cs="Arial"/>
          <w:i/>
          <w:iCs/>
          <w:color w:val="C00000"/>
        </w:rPr>
        <w:t xml:space="preserve">eview of recommendations with stakeholders outside the NITAGC and dissemination within programmatic documents </w:t>
      </w:r>
      <w:r>
        <w:rPr>
          <w:rFonts w:ascii="Arial" w:hAnsi="Arial" w:cs="Arial"/>
          <w:i/>
          <w:iCs/>
          <w:color w:val="C00000"/>
        </w:rPr>
        <w:t>and to authorities.</w:t>
      </w:r>
    </w:p>
    <w:p w14:paraId="20BECCB1" w14:textId="77777777" w:rsidR="009B2785" w:rsidRPr="00975025" w:rsidRDefault="009B2785" w:rsidP="009B2785">
      <w:pPr>
        <w:pStyle w:val="Heading4"/>
        <w:jc w:val="both"/>
        <w:rPr>
          <w:rFonts w:ascii="Arial" w:hAnsi="Arial" w:cs="Arial"/>
          <w:color w:val="auto"/>
        </w:rPr>
      </w:pPr>
    </w:p>
    <w:p w14:paraId="52BF7146" w14:textId="77777777" w:rsidR="009B2785" w:rsidRPr="00975025" w:rsidRDefault="009B2785" w:rsidP="009B2785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0A65A6">
        <w:rPr>
          <w:rFonts w:ascii="Arial" w:hAnsi="Arial" w:cs="Arial"/>
          <w:b/>
          <w:i w:val="0"/>
          <w:color w:val="auto"/>
        </w:rPr>
        <w:t>Timeline</w:t>
      </w:r>
    </w:p>
    <w:p w14:paraId="15697581" w14:textId="77777777" w:rsidR="009B2785" w:rsidRDefault="009B2785" w:rsidP="009B2785"/>
    <w:p w14:paraId="2BB4F4AB" w14:textId="64F9E94C" w:rsidR="007D3AA2" w:rsidRPr="00975025" w:rsidRDefault="007D3AA2" w:rsidP="007D3AA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Insert project timeline, including dates for the key activities listed above.</w:t>
      </w:r>
    </w:p>
    <w:p w14:paraId="74054F51" w14:textId="77777777" w:rsidR="009B2785" w:rsidRPr="00975025" w:rsidRDefault="009B2785" w:rsidP="009B2785">
      <w:pPr>
        <w:jc w:val="both"/>
        <w:rPr>
          <w:rFonts w:ascii="Arial" w:hAnsi="Arial" w:cs="Arial"/>
          <w:b/>
        </w:rPr>
      </w:pPr>
    </w:p>
    <w:p w14:paraId="47808C3D" w14:textId="27C409F4" w:rsidR="005E0F50" w:rsidRPr="006B7949" w:rsidRDefault="006B7949" w:rsidP="005E0F50">
      <w:pPr>
        <w:jc w:val="both"/>
        <w:rPr>
          <w:rFonts w:ascii="Arial" w:hAnsi="Arial" w:cs="Arial"/>
          <w:b/>
          <w:lang w:val="fr-FR"/>
        </w:rPr>
      </w:pPr>
      <w:r w:rsidRPr="006B7949">
        <w:rPr>
          <w:rFonts w:ascii="Arial" w:hAnsi="Arial" w:cs="Arial"/>
          <w:b/>
        </w:rPr>
        <w:t xml:space="preserve">Budget </w:t>
      </w:r>
    </w:p>
    <w:p w14:paraId="2990D3EF" w14:textId="7D6FDD11" w:rsidR="002A5CEF" w:rsidRPr="00C262B5" w:rsidRDefault="00670B81" w:rsidP="006B7949">
      <w:pPr>
        <w:pStyle w:val="ListParagraph"/>
        <w:numPr>
          <w:ilvl w:val="0"/>
          <w:numId w:val="3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Stakeholder engagement and online sessions</w:t>
      </w:r>
    </w:p>
    <w:p w14:paraId="4D380167" w14:textId="77777777" w:rsidR="00CE619B" w:rsidRDefault="00CE619B" w:rsidP="00CE619B">
      <w:pPr>
        <w:pStyle w:val="ListParagraph"/>
        <w:ind w:left="360"/>
        <w:rPr>
          <w:rFonts w:ascii="Arial" w:hAnsi="Arial" w:cs="Arial"/>
          <w:lang w:val="fr-F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CE619B" w14:paraId="10B36E78" w14:textId="77777777" w:rsidTr="00CE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B49C8E" w14:textId="7CECCBE9" w:rsidR="00CE619B" w:rsidRDefault="00CE619B" w:rsidP="00CE619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74E6D37E" w14:textId="21BC2F4B" w:rsidR="00CE619B" w:rsidRDefault="00670B81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564C75CB" w14:textId="5A04C135" w:rsidR="00CE619B" w:rsidRDefault="00670B81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4E4FD1AD" w14:textId="0374F1B0" w:rsidR="00CE619B" w:rsidRDefault="00CE619B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Unit cost </w:t>
            </w:r>
          </w:p>
        </w:tc>
        <w:tc>
          <w:tcPr>
            <w:tcW w:w="1870" w:type="dxa"/>
          </w:tcPr>
          <w:p w14:paraId="672BA706" w14:textId="3868A1D6" w:rsidR="00CE619B" w:rsidRDefault="00CE619B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Total Cost </w:t>
            </w:r>
          </w:p>
        </w:tc>
      </w:tr>
      <w:tr w:rsidR="00CE619B" w:rsidRPr="00CE619B" w14:paraId="31312154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FF9247" w14:textId="07BE360C" w:rsidR="00CE619B" w:rsidRPr="00CE619B" w:rsidRDefault="00670B81" w:rsidP="00CE619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Internet payments</w:t>
            </w:r>
          </w:p>
        </w:tc>
        <w:tc>
          <w:tcPr>
            <w:tcW w:w="1276" w:type="dxa"/>
          </w:tcPr>
          <w:p w14:paraId="019B9546" w14:textId="4D9A69F4" w:rsidR="00C50D9D" w:rsidRPr="00CE619B" w:rsidRDefault="00266D94" w:rsidP="009C27FF">
            <w:pPr>
              <w:pStyle w:val="ListParagraph"/>
              <w:tabs>
                <w:tab w:val="left" w:pos="451"/>
                <w:tab w:val="center" w:pos="5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362" w:type="dxa"/>
          </w:tcPr>
          <w:p w14:paraId="48BA4BFC" w14:textId="1D98B3CC" w:rsidR="00C50D9D" w:rsidRPr="00CE619B" w:rsidRDefault="00C50D9D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2E01ED2C" w14:textId="38FE9FDA" w:rsidR="00CE619B" w:rsidRPr="00CE619B" w:rsidRDefault="00CE619B" w:rsidP="00CE619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AF48222" w14:textId="211571BA" w:rsidR="00CE619B" w:rsidRPr="00CE619B" w:rsidRDefault="00CE619B" w:rsidP="00CE619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383C52A3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D8583A" w14:textId="7FC0EA3D" w:rsidR="00CE619B" w:rsidRPr="00CE619B" w:rsidRDefault="00670B81" w:rsidP="00D51B2C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Online tools</w:t>
            </w:r>
          </w:p>
        </w:tc>
        <w:tc>
          <w:tcPr>
            <w:tcW w:w="1276" w:type="dxa"/>
          </w:tcPr>
          <w:p w14:paraId="3ABD7233" w14:textId="10A41495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0D2F329" w14:textId="01B65D24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7C71D33" w14:textId="4C1FECB8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CB7F4EE" w14:textId="7FC922FD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2288F065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A99304" w14:textId="77777777" w:rsidR="00CE619B" w:rsidRPr="00CE619B" w:rsidRDefault="00CE619B" w:rsidP="00CE619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276" w:type="dxa"/>
          </w:tcPr>
          <w:p w14:paraId="3979C670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0FBE9A32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E2E2C09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6C5C0DC3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08305AD5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7B2496" w14:textId="0C76884C" w:rsidR="00CE619B" w:rsidRPr="00C262B5" w:rsidRDefault="00C262B5" w:rsidP="00CE619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61377CC9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28BB133F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2BDE24C4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0435349F" w14:textId="62503413" w:rsidR="00CE619B" w:rsidRPr="00C262B5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348093A9" w14:textId="735A0AA1" w:rsidR="00CE619B" w:rsidRDefault="00CE619B" w:rsidP="00CE619B">
      <w:pPr>
        <w:pStyle w:val="ListParagraph"/>
        <w:ind w:left="360"/>
        <w:rPr>
          <w:rFonts w:ascii="Arial" w:hAnsi="Arial" w:cs="Arial"/>
          <w:lang w:val="fr-FR"/>
        </w:rPr>
      </w:pPr>
    </w:p>
    <w:p w14:paraId="6D61CC23" w14:textId="1C58DEE8" w:rsidR="004D7074" w:rsidRPr="007D3AA2" w:rsidRDefault="007D3AA2" w:rsidP="003B5171">
      <w:pPr>
        <w:pStyle w:val="ListParagraph"/>
        <w:numPr>
          <w:ilvl w:val="0"/>
          <w:numId w:val="3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Framework Adaptation Workshop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C262B5" w14:paraId="4FE3D68C" w14:textId="77777777" w:rsidTr="005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65AAA1" w14:textId="39EAB9F5" w:rsidR="00C262B5" w:rsidRDefault="00C262B5" w:rsidP="00A61B39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C4FAF96" w14:textId="77777777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48100A2C" w14:textId="229C4F94" w:rsidR="00C262B5" w:rsidRDefault="00670B81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2A631D6A" w14:textId="167FB782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Unit cost</w:t>
            </w:r>
          </w:p>
        </w:tc>
        <w:tc>
          <w:tcPr>
            <w:tcW w:w="1870" w:type="dxa"/>
          </w:tcPr>
          <w:p w14:paraId="376C46C5" w14:textId="3A4602D7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7D3AA2" w:rsidRPr="00CE619B" w14:paraId="522E7A73" w14:textId="77777777" w:rsidTr="00A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AA90AC" w14:textId="5D5F7A58" w:rsidR="007D3AA2" w:rsidRPr="00CE619B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Room rental / facilities</w:t>
            </w:r>
          </w:p>
        </w:tc>
        <w:tc>
          <w:tcPr>
            <w:tcW w:w="1276" w:type="dxa"/>
          </w:tcPr>
          <w:p w14:paraId="147D1232" w14:textId="1DED3E4C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D2FB772" w14:textId="2C9AC123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4A9D5B7E" w14:textId="47F038ED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1CBCAC4" w14:textId="65C4B470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904AAB" w:rsidRPr="00CE619B" w14:paraId="10488E21" w14:textId="77777777" w:rsidTr="005C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67874C2" w14:textId="209ECEBB" w:rsidR="00904AAB" w:rsidRPr="00CE619B" w:rsidRDefault="007D3AA2" w:rsidP="00904A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Food and beverage</w:t>
            </w:r>
          </w:p>
        </w:tc>
        <w:tc>
          <w:tcPr>
            <w:tcW w:w="1276" w:type="dxa"/>
          </w:tcPr>
          <w:p w14:paraId="46241449" w14:textId="7B376A23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712B1E3E" w14:textId="17EFA978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E3415AE" w14:textId="60451185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4F307014" w14:textId="54BE0C9B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4E8029EE" w14:textId="77777777" w:rsidTr="005C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FE57A17" w14:textId="3F3BBABF" w:rsidR="007D3AA2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diem</w:t>
            </w:r>
          </w:p>
        </w:tc>
        <w:tc>
          <w:tcPr>
            <w:tcW w:w="1276" w:type="dxa"/>
          </w:tcPr>
          <w:p w14:paraId="0189AE15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9E81A6C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84A5CF3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57DCD910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0539825C" w14:textId="77777777" w:rsidTr="00A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E58A33" w14:textId="77777777" w:rsidR="007D3AA2" w:rsidRPr="00C262B5" w:rsidRDefault="007D3AA2" w:rsidP="007D3AA2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0AF38EB0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3CB5A657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1FBB3E7C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6D58DD95" w14:textId="3A3055A8" w:rsidR="007D3AA2" w:rsidRPr="00C262B5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50CB5FEF" w14:textId="77777777" w:rsidR="004D7074" w:rsidRPr="007D3AA2" w:rsidRDefault="004D7074" w:rsidP="007D3AA2">
      <w:pPr>
        <w:rPr>
          <w:rFonts w:ascii="Arial" w:hAnsi="Arial" w:cs="Arial"/>
          <w:lang w:val="fr-FR"/>
        </w:rPr>
      </w:pPr>
    </w:p>
    <w:p w14:paraId="262465D6" w14:textId="567DA76E" w:rsidR="00C262B5" w:rsidRPr="00670B81" w:rsidRDefault="00670B81" w:rsidP="00B46168">
      <w:pPr>
        <w:pStyle w:val="ListParagraph"/>
        <w:numPr>
          <w:ilvl w:val="0"/>
          <w:numId w:val="3"/>
        </w:numPr>
        <w:rPr>
          <w:rFonts w:ascii="Arial" w:hAnsi="Arial" w:cs="Arial"/>
          <w:bCs/>
          <w:i/>
          <w:lang w:val="fr-FR"/>
        </w:rPr>
      </w:pPr>
      <w:r w:rsidRPr="00670B81">
        <w:rPr>
          <w:rFonts w:ascii="Arial" w:hAnsi="Arial" w:cs="Arial"/>
          <w:bCs/>
          <w:i/>
        </w:rPr>
        <w:t>Assessment, Prioritization and Sequencing</w:t>
      </w:r>
      <w:r>
        <w:rPr>
          <w:rFonts w:ascii="Arial" w:hAnsi="Arial" w:cs="Arial"/>
          <w:bCs/>
          <w:i/>
        </w:rPr>
        <w:t xml:space="preserve"> Workshop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DD7728" w14:paraId="0A73130D" w14:textId="77777777" w:rsidTr="0062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48117C" w14:textId="77777777" w:rsidR="00DD7728" w:rsidRDefault="00DD7728" w:rsidP="006251A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Wording</w:t>
            </w:r>
          </w:p>
        </w:tc>
        <w:tc>
          <w:tcPr>
            <w:tcW w:w="1276" w:type="dxa"/>
          </w:tcPr>
          <w:p w14:paraId="01D39A9E" w14:textId="77777777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2DDF4756" w14:textId="44B679E2" w:rsidR="00DD7728" w:rsidRDefault="00670B81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69C080F7" w14:textId="2B03D1EA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Unit cost</w:t>
            </w:r>
          </w:p>
        </w:tc>
        <w:tc>
          <w:tcPr>
            <w:tcW w:w="1870" w:type="dxa"/>
          </w:tcPr>
          <w:p w14:paraId="19206298" w14:textId="19BDE9A2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DD7728" w:rsidRPr="00CE619B" w14:paraId="2824E454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AE852E" w14:textId="6503ED0F" w:rsidR="00DD7728" w:rsidRPr="00CE619B" w:rsidRDefault="007D3AA2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Room rental / facilities</w:t>
            </w:r>
          </w:p>
        </w:tc>
        <w:tc>
          <w:tcPr>
            <w:tcW w:w="1276" w:type="dxa"/>
          </w:tcPr>
          <w:p w14:paraId="71381D09" w14:textId="2EE3A0C1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0BECEB2" w14:textId="6D9AE533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30C2FDA" w14:textId="6A57D49A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5945F9E" w14:textId="46841A8C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2E3FC1CC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D33AC33" w14:textId="2FC12F7D" w:rsidR="007D3AA2" w:rsidRPr="00CE619B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Food and beverage</w:t>
            </w:r>
          </w:p>
        </w:tc>
        <w:tc>
          <w:tcPr>
            <w:tcW w:w="1276" w:type="dxa"/>
          </w:tcPr>
          <w:p w14:paraId="1261C8B1" w14:textId="43FE9531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4C5CEF90" w14:textId="18AE5FE8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  <w:vAlign w:val="center"/>
          </w:tcPr>
          <w:p w14:paraId="245F492C" w14:textId="74A1F85B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686D900" w14:textId="04C1BA4A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206210" w14:paraId="20CDC852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C89C55A" w14:textId="22D5F444" w:rsidR="00DD7728" w:rsidRPr="00206210" w:rsidRDefault="00904AAB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Per diem</w:t>
            </w:r>
          </w:p>
        </w:tc>
        <w:tc>
          <w:tcPr>
            <w:tcW w:w="1276" w:type="dxa"/>
          </w:tcPr>
          <w:p w14:paraId="1C64C9A4" w14:textId="4F49EC44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6198580A" w14:textId="61F9D0F5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  <w:vAlign w:val="center"/>
          </w:tcPr>
          <w:p w14:paraId="2C767211" w14:textId="47D22231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5702C85F" w14:textId="63768DD0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CE619B" w14:paraId="191D9395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18AA32C" w14:textId="77777777" w:rsidR="00DD7728" w:rsidRPr="00206210" w:rsidRDefault="00DD7728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276" w:type="dxa"/>
          </w:tcPr>
          <w:p w14:paraId="0EA27700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09BBEE54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9B2D041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2BEC08E2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CE619B" w14:paraId="01865D0A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B36790" w14:textId="77777777" w:rsidR="00DD7728" w:rsidRPr="00C262B5" w:rsidRDefault="00DD7728" w:rsidP="006251A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6398CE23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7828F1D9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55D30991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1C22E3B5" w14:textId="562B4080" w:rsidR="00DD7728" w:rsidRPr="00C262B5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FEDDD8F" w14:textId="77777777" w:rsidR="006B7949" w:rsidRDefault="006B7949">
      <w:pPr>
        <w:rPr>
          <w:rFonts w:ascii="Arial" w:hAnsi="Arial" w:cs="Arial"/>
          <w:lang w:val="fr-FR"/>
        </w:rPr>
      </w:pPr>
    </w:p>
    <w:p w14:paraId="7ED2F98A" w14:textId="3DE2A17D" w:rsidR="009C27FF" w:rsidRPr="005E0F50" w:rsidRDefault="009C27FF">
      <w:pPr>
        <w:rPr>
          <w:rFonts w:ascii="Arial" w:hAnsi="Arial" w:cs="Arial"/>
          <w:lang w:val="fr-FR"/>
        </w:rPr>
      </w:pPr>
    </w:p>
    <w:sectPr w:rsidR="009C27FF" w:rsidRPr="005E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9CB0" w14:textId="77777777" w:rsidR="000478D5" w:rsidRDefault="000478D5" w:rsidP="005E0F50">
      <w:pPr>
        <w:spacing w:after="0" w:line="240" w:lineRule="auto"/>
      </w:pPr>
      <w:r>
        <w:separator/>
      </w:r>
    </w:p>
  </w:endnote>
  <w:endnote w:type="continuationSeparator" w:id="0">
    <w:p w14:paraId="128D05B5" w14:textId="77777777" w:rsidR="000478D5" w:rsidRDefault="000478D5" w:rsidP="005E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70F9" w14:textId="77777777" w:rsidR="000478D5" w:rsidRDefault="000478D5" w:rsidP="005E0F50">
      <w:pPr>
        <w:spacing w:after="0" w:line="240" w:lineRule="auto"/>
      </w:pPr>
      <w:r>
        <w:separator/>
      </w:r>
    </w:p>
  </w:footnote>
  <w:footnote w:type="continuationSeparator" w:id="0">
    <w:p w14:paraId="2DF41467" w14:textId="77777777" w:rsidR="000478D5" w:rsidRDefault="000478D5" w:rsidP="005E0F50">
      <w:pPr>
        <w:spacing w:after="0" w:line="240" w:lineRule="auto"/>
      </w:pPr>
      <w:r>
        <w:continuationSeparator/>
      </w:r>
    </w:p>
  </w:footnote>
  <w:footnote w:id="1">
    <w:p w14:paraId="2E441A59" w14:textId="658A5F3D" w:rsidR="00FF20CF" w:rsidRDefault="00FF20CF" w:rsidP="00FF20CF">
      <w:pPr>
        <w:pStyle w:val="FootnoteText"/>
      </w:pPr>
      <w:r>
        <w:rPr>
          <w:rStyle w:val="FootnoteReference"/>
        </w:rPr>
        <w:footnoteRef/>
      </w:r>
      <w:r>
        <w:t xml:space="preserve"> COVID-19 vaccine, </w:t>
      </w:r>
      <w:r w:rsidRPr="00461933">
        <w:t xml:space="preserve">Human papillomavirus </w:t>
      </w:r>
      <w:r>
        <w:t xml:space="preserve">vaccine </w:t>
      </w:r>
      <w:r w:rsidRPr="00461933">
        <w:t>(HPV)</w:t>
      </w:r>
      <w:r>
        <w:t xml:space="preserve">, inactivated polio vaccine (IPV), Japanese encephalitis vaccine (JE), malaria vaccine, </w:t>
      </w:r>
      <w:r w:rsidRPr="00461933">
        <w:t>measles and measles-rubella vaccines</w:t>
      </w:r>
      <w:r>
        <w:t xml:space="preserve">, </w:t>
      </w:r>
      <w:r w:rsidRPr="00461933">
        <w:t xml:space="preserve">meningococcal A </w:t>
      </w:r>
      <w:r>
        <w:t>vaccine (</w:t>
      </w:r>
      <w:proofErr w:type="spellStart"/>
      <w:r>
        <w:t>MenA</w:t>
      </w:r>
      <w:proofErr w:type="spellEnd"/>
      <w:r>
        <w:t>), oral cholera vaccine (OCV), pentavalent vaccine, p</w:t>
      </w:r>
      <w:r w:rsidRPr="00461933">
        <w:t xml:space="preserve">neumococcal conjugate vaccine </w:t>
      </w:r>
      <w:r>
        <w:t>(PCV), rotavirus vaccine, t</w:t>
      </w:r>
      <w:r w:rsidRPr="00461933">
        <w:t>yphoid conjugate vaccine</w:t>
      </w:r>
      <w:r>
        <w:t xml:space="preserve"> (TCV), yellow fever vaccine (YF)</w:t>
      </w:r>
      <w:r w:rsidR="00975025">
        <w:t xml:space="preserve">, </w:t>
      </w:r>
      <w:r w:rsidR="00975025">
        <w:t>DTP-containing boosters, hepatitis B birth dose, hexavalent vaccine</w:t>
      </w:r>
      <w:r w:rsidR="00975025">
        <w:t xml:space="preserve"> </w:t>
      </w:r>
      <w:r w:rsidR="00975025">
        <w:t xml:space="preserve">and </w:t>
      </w:r>
      <w:r w:rsidR="00975025">
        <w:t>Ebola</w:t>
      </w:r>
      <w:r w:rsidR="00975025">
        <w:t xml:space="preserve"> vaccine.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1E48"/>
    <w:multiLevelType w:val="hybridMultilevel"/>
    <w:tmpl w:val="654A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35F"/>
    <w:multiLevelType w:val="hybridMultilevel"/>
    <w:tmpl w:val="3C46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189"/>
    <w:multiLevelType w:val="hybridMultilevel"/>
    <w:tmpl w:val="1BD8AE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33CAA"/>
    <w:multiLevelType w:val="hybridMultilevel"/>
    <w:tmpl w:val="471ED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18531">
    <w:abstractNumId w:val="1"/>
  </w:num>
  <w:num w:numId="2" w16cid:durableId="1784643391">
    <w:abstractNumId w:val="0"/>
  </w:num>
  <w:num w:numId="3" w16cid:durableId="519663723">
    <w:abstractNumId w:val="2"/>
  </w:num>
  <w:num w:numId="4" w16cid:durableId="120004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A"/>
    <w:rsid w:val="00022A39"/>
    <w:rsid w:val="00040EB3"/>
    <w:rsid w:val="000478D5"/>
    <w:rsid w:val="000A65A6"/>
    <w:rsid w:val="000C1B78"/>
    <w:rsid w:val="000C6A64"/>
    <w:rsid w:val="000D5E93"/>
    <w:rsid w:val="00130D9B"/>
    <w:rsid w:val="00166040"/>
    <w:rsid w:val="001F40AD"/>
    <w:rsid w:val="00206210"/>
    <w:rsid w:val="00210669"/>
    <w:rsid w:val="00223AEE"/>
    <w:rsid w:val="002325B9"/>
    <w:rsid w:val="0024012D"/>
    <w:rsid w:val="00261228"/>
    <w:rsid w:val="00266D94"/>
    <w:rsid w:val="00276449"/>
    <w:rsid w:val="002930E9"/>
    <w:rsid w:val="00296E7F"/>
    <w:rsid w:val="002A2B9D"/>
    <w:rsid w:val="002A5CEF"/>
    <w:rsid w:val="002B06AE"/>
    <w:rsid w:val="002B14A0"/>
    <w:rsid w:val="002D0699"/>
    <w:rsid w:val="0030505E"/>
    <w:rsid w:val="003122DF"/>
    <w:rsid w:val="00313C0A"/>
    <w:rsid w:val="0032418C"/>
    <w:rsid w:val="00372B93"/>
    <w:rsid w:val="00383FD2"/>
    <w:rsid w:val="00395FFB"/>
    <w:rsid w:val="003B5171"/>
    <w:rsid w:val="0040095B"/>
    <w:rsid w:val="004345F3"/>
    <w:rsid w:val="004535BD"/>
    <w:rsid w:val="00465C26"/>
    <w:rsid w:val="004C1B15"/>
    <w:rsid w:val="004D7074"/>
    <w:rsid w:val="005114BE"/>
    <w:rsid w:val="0054067D"/>
    <w:rsid w:val="00571640"/>
    <w:rsid w:val="00581E9B"/>
    <w:rsid w:val="005C73E9"/>
    <w:rsid w:val="005E0F50"/>
    <w:rsid w:val="005E288C"/>
    <w:rsid w:val="00613DB4"/>
    <w:rsid w:val="00640F6E"/>
    <w:rsid w:val="00670B81"/>
    <w:rsid w:val="006949B8"/>
    <w:rsid w:val="006B7949"/>
    <w:rsid w:val="00783101"/>
    <w:rsid w:val="0078473D"/>
    <w:rsid w:val="007A3496"/>
    <w:rsid w:val="007D3AA2"/>
    <w:rsid w:val="008507C9"/>
    <w:rsid w:val="00883909"/>
    <w:rsid w:val="00893B90"/>
    <w:rsid w:val="008D6852"/>
    <w:rsid w:val="008E1F8F"/>
    <w:rsid w:val="00904AAB"/>
    <w:rsid w:val="00912B4F"/>
    <w:rsid w:val="00912C44"/>
    <w:rsid w:val="0092195F"/>
    <w:rsid w:val="0095134B"/>
    <w:rsid w:val="00952699"/>
    <w:rsid w:val="00960A28"/>
    <w:rsid w:val="00972D38"/>
    <w:rsid w:val="00975025"/>
    <w:rsid w:val="009A7271"/>
    <w:rsid w:val="009A72CD"/>
    <w:rsid w:val="009B2785"/>
    <w:rsid w:val="009C27FF"/>
    <w:rsid w:val="009F68C1"/>
    <w:rsid w:val="00A746EB"/>
    <w:rsid w:val="00A86888"/>
    <w:rsid w:val="00A912D4"/>
    <w:rsid w:val="00AA0C8A"/>
    <w:rsid w:val="00B1612D"/>
    <w:rsid w:val="00B35AB4"/>
    <w:rsid w:val="00B4205C"/>
    <w:rsid w:val="00B9468B"/>
    <w:rsid w:val="00BA582F"/>
    <w:rsid w:val="00BE0ACB"/>
    <w:rsid w:val="00C14B0C"/>
    <w:rsid w:val="00C262B5"/>
    <w:rsid w:val="00C362E5"/>
    <w:rsid w:val="00C50D9D"/>
    <w:rsid w:val="00CC5141"/>
    <w:rsid w:val="00CE619B"/>
    <w:rsid w:val="00D06598"/>
    <w:rsid w:val="00D07A58"/>
    <w:rsid w:val="00D14B8D"/>
    <w:rsid w:val="00D14C40"/>
    <w:rsid w:val="00D21869"/>
    <w:rsid w:val="00D46F9B"/>
    <w:rsid w:val="00D51B2C"/>
    <w:rsid w:val="00DB6673"/>
    <w:rsid w:val="00DD7728"/>
    <w:rsid w:val="00E178BC"/>
    <w:rsid w:val="00E51D17"/>
    <w:rsid w:val="00E664C5"/>
    <w:rsid w:val="00EB1903"/>
    <w:rsid w:val="00EB42B6"/>
    <w:rsid w:val="00ED5D74"/>
    <w:rsid w:val="00EF5A90"/>
    <w:rsid w:val="00F07653"/>
    <w:rsid w:val="00F3463C"/>
    <w:rsid w:val="00F6502C"/>
    <w:rsid w:val="00F918F6"/>
    <w:rsid w:val="00FC25D4"/>
    <w:rsid w:val="00FC3868"/>
    <w:rsid w:val="00FC780A"/>
    <w:rsid w:val="00FF20C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C046"/>
  <w15:chartTrackingRefBased/>
  <w15:docId w15:val="{F5B96429-42A7-4FB1-9141-B039660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50"/>
    <w:rPr>
      <w:kern w:val="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0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F5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E0F5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E0F5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E0F50"/>
    <w:rPr>
      <w:rFonts w:asciiTheme="majorHAnsi" w:eastAsiaTheme="majorEastAsia" w:hAnsiTheme="majorHAnsi" w:cstheme="majorBidi"/>
      <w:color w:val="1F4D78" w:themeColor="accent1" w:themeShade="7F"/>
      <w:kern w:val="2"/>
      <w:lang w:val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F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F50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E0F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0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673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673"/>
    <w:rPr>
      <w:b/>
      <w:bCs/>
      <w:kern w:val="2"/>
      <w:sz w:val="20"/>
      <w:szCs w:val="20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73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CE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E61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E61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E61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E61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E619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A72CD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B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171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B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171"/>
    <w:rPr>
      <w:kern w:val="2"/>
      <w:lang w:val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B19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2E98-1032-4CD7-AB89-7C6C068B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Florian Guiod</cp:lastModifiedBy>
  <cp:revision>3</cp:revision>
  <cp:lastPrinted>2024-04-24T16:26:00Z</cp:lastPrinted>
  <dcterms:created xsi:type="dcterms:W3CDTF">2023-11-23T06:14:00Z</dcterms:created>
  <dcterms:modified xsi:type="dcterms:W3CDTF">2025-01-30T09:19:00Z</dcterms:modified>
</cp:coreProperties>
</file>