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3DD8" w:rsidR="001214DC" w:rsidP="002E6068" w:rsidRDefault="000868A0" w14:paraId="780CDC9E" w14:textId="62BB2B1B">
      <w:pPr>
        <w:pStyle w:val="NormalWeb"/>
        <w:jc w:val="both"/>
        <w:rPr>
          <w:rFonts w:eastAsiaTheme="minorHAnsi"/>
          <w:i/>
          <w:iCs/>
          <w:color w:val="5B9BD5" w:themeColor="accent5"/>
          <w:sz w:val="20"/>
          <w:szCs w:val="20"/>
          <w:lang w:val="en-GB" w:eastAsia="en-US"/>
        </w:rPr>
      </w:pPr>
      <w:r w:rsidRPr="00363DD8">
        <w:rPr>
          <w:rFonts w:eastAsiaTheme="minorHAnsi"/>
          <w:b/>
          <w:bCs/>
          <w:lang w:val="en-GB" w:eastAsia="en-US"/>
        </w:rPr>
        <w:t>Instructions:</w:t>
      </w:r>
      <w:r w:rsidRPr="00363DD8">
        <w:rPr>
          <w:rFonts w:eastAsiaTheme="minorHAnsi"/>
          <w:lang w:val="en-GB" w:eastAsia="en-US"/>
        </w:rPr>
        <w:t xml:space="preserve"> The following </w:t>
      </w:r>
      <w:r w:rsidRPr="00363DD8" w:rsidR="007A6E2A">
        <w:rPr>
          <w:rFonts w:eastAsiaTheme="minorHAnsi"/>
          <w:lang w:val="en-GB" w:eastAsia="en-US"/>
        </w:rPr>
        <w:t>Standard Operating Procedure</w:t>
      </w:r>
      <w:r w:rsidRPr="00363DD8" w:rsidR="00F10CEC">
        <w:rPr>
          <w:rFonts w:eastAsiaTheme="minorHAnsi"/>
          <w:lang w:val="en-GB" w:eastAsia="en-US"/>
        </w:rPr>
        <w:t xml:space="preserve"> (SOP)</w:t>
      </w:r>
      <w:r w:rsidRPr="00363DD8" w:rsidR="007A6E2A">
        <w:rPr>
          <w:rFonts w:eastAsiaTheme="minorHAnsi"/>
          <w:lang w:val="en-GB" w:eastAsia="en-US"/>
        </w:rPr>
        <w:t xml:space="preserve"> </w:t>
      </w:r>
      <w:r w:rsidRPr="00363DD8">
        <w:rPr>
          <w:rFonts w:eastAsiaTheme="minorHAnsi"/>
          <w:lang w:val="en-GB" w:eastAsia="en-US"/>
        </w:rPr>
        <w:t xml:space="preserve">(alternatively also referred to as the NITAG </w:t>
      </w:r>
      <w:r w:rsidRPr="00363DD8" w:rsidR="00F10CEC">
        <w:rPr>
          <w:rFonts w:eastAsiaTheme="minorHAnsi"/>
          <w:lang w:val="en-GB" w:eastAsia="en-US"/>
        </w:rPr>
        <w:t>‘</w:t>
      </w:r>
      <w:r w:rsidRPr="00363DD8">
        <w:rPr>
          <w:rFonts w:eastAsiaTheme="minorHAnsi"/>
          <w:lang w:val="en-GB" w:eastAsia="en-US"/>
        </w:rPr>
        <w:t>Charter</w:t>
      </w:r>
      <w:r w:rsidRPr="00363DD8" w:rsidR="00F10CEC">
        <w:rPr>
          <w:rFonts w:eastAsiaTheme="minorHAnsi"/>
          <w:lang w:val="en-GB" w:eastAsia="en-US"/>
        </w:rPr>
        <w:t>’</w:t>
      </w:r>
      <w:r w:rsidRPr="00363DD8">
        <w:rPr>
          <w:rFonts w:eastAsiaTheme="minorHAnsi"/>
          <w:lang w:val="en-GB" w:eastAsia="en-US"/>
        </w:rPr>
        <w:t xml:space="preserve">) provides a </w:t>
      </w:r>
      <w:r w:rsidRPr="00363DD8" w:rsidR="0086204F">
        <w:rPr>
          <w:rFonts w:eastAsiaTheme="minorHAnsi"/>
          <w:lang w:val="en-GB" w:eastAsia="en-US"/>
        </w:rPr>
        <w:t xml:space="preserve">guidance </w:t>
      </w:r>
      <w:r w:rsidRPr="00363DD8">
        <w:rPr>
          <w:rFonts w:eastAsiaTheme="minorHAnsi"/>
          <w:lang w:val="en-GB" w:eastAsia="en-US"/>
        </w:rPr>
        <w:t>template for all NITAGs to adapt</w:t>
      </w:r>
      <w:r w:rsidRPr="00363DD8" w:rsidR="00F10CEC">
        <w:rPr>
          <w:rFonts w:eastAsiaTheme="minorHAnsi"/>
          <w:lang w:val="en-GB" w:eastAsia="en-US"/>
        </w:rPr>
        <w:t>.</w:t>
      </w:r>
      <w:r w:rsidRPr="00363DD8">
        <w:rPr>
          <w:rFonts w:eastAsiaTheme="minorHAnsi"/>
          <w:lang w:val="en-GB" w:eastAsia="en-US"/>
        </w:rPr>
        <w:t xml:space="preserve"> The sections marked with the “&lt; &gt;” are to provide guidance and must be</w:t>
      </w:r>
      <w:r w:rsidRPr="00363DD8" w:rsidR="00715868">
        <w:rPr>
          <w:rFonts w:eastAsiaTheme="minorHAnsi"/>
          <w:lang w:val="en-GB" w:eastAsia="en-US"/>
        </w:rPr>
        <w:t xml:space="preserve"> erased and </w:t>
      </w:r>
      <w:r w:rsidRPr="00363DD8">
        <w:rPr>
          <w:rFonts w:eastAsiaTheme="minorHAnsi"/>
          <w:lang w:val="en-GB" w:eastAsia="en-US"/>
        </w:rPr>
        <w:t xml:space="preserve">completed by the NITAG Secretariat to reflect the specific </w:t>
      </w:r>
      <w:r w:rsidRPr="00363DD8" w:rsidR="00F10CEC">
        <w:rPr>
          <w:rFonts w:eastAsiaTheme="minorHAnsi"/>
          <w:lang w:val="en-GB" w:eastAsia="en-US"/>
        </w:rPr>
        <w:t>context</w:t>
      </w:r>
      <w:r w:rsidRPr="00363DD8">
        <w:rPr>
          <w:rFonts w:eastAsiaTheme="minorHAnsi"/>
          <w:lang w:val="en-GB" w:eastAsia="en-US"/>
        </w:rPr>
        <w:t xml:space="preserve"> </w:t>
      </w:r>
      <w:r w:rsidRPr="00363DD8" w:rsidR="00F10CEC">
        <w:rPr>
          <w:rFonts w:eastAsiaTheme="minorHAnsi"/>
          <w:lang w:val="en-GB" w:eastAsia="en-US"/>
        </w:rPr>
        <w:t>of</w:t>
      </w:r>
      <w:r w:rsidRPr="00363DD8">
        <w:rPr>
          <w:rFonts w:eastAsiaTheme="minorHAnsi"/>
          <w:lang w:val="en-GB" w:eastAsia="en-US"/>
        </w:rPr>
        <w:t xml:space="preserve"> y</w:t>
      </w:r>
      <w:r w:rsidRPr="00363DD8" w:rsidR="00F10CEC">
        <w:rPr>
          <w:rFonts w:eastAsiaTheme="minorHAnsi"/>
          <w:lang w:val="en-GB" w:eastAsia="en-US"/>
        </w:rPr>
        <w:t>our</w:t>
      </w:r>
      <w:r w:rsidRPr="00363DD8">
        <w:rPr>
          <w:rFonts w:eastAsiaTheme="minorHAnsi"/>
          <w:lang w:val="en-GB" w:eastAsia="en-US"/>
        </w:rPr>
        <w:t xml:space="preserve"> NITAG.</w:t>
      </w:r>
      <w:r w:rsidRPr="00363DD8" w:rsidR="001214DC">
        <w:rPr>
          <w:rFonts w:eastAsiaTheme="minorHAnsi"/>
          <w:lang w:val="en-GB" w:eastAsia="en-US"/>
        </w:rPr>
        <w:t xml:space="preserve"> </w:t>
      </w:r>
      <w:r w:rsidRPr="00363DD8" w:rsidR="000607A7">
        <w:rPr>
          <w:rFonts w:eastAsiaTheme="minorHAnsi"/>
          <w:lang w:val="en-GB" w:eastAsia="en-US"/>
        </w:rPr>
        <w:t>The NITAG SOP must be clearly defined and should include the rules and procedures for all operations.</w:t>
      </w:r>
    </w:p>
    <w:p w:rsidRPr="00363DD8" w:rsidR="00254FE6" w:rsidP="00AD4777" w:rsidRDefault="001214DC" w14:paraId="7899911A" w14:textId="3FC8ADC7">
      <w:pPr>
        <w:spacing w:before="100" w:beforeAutospacing="1" w:after="100" w:afterAutospacing="1"/>
        <w:contextualSpacing/>
        <w:jc w:val="both"/>
        <w:rPr>
          <w:rFonts w:ascii="Times New Roman" w:hAnsi="Times New Roman" w:cs="Times New Roman"/>
          <w:lang w:val="en-GB"/>
        </w:rPr>
      </w:pPr>
      <w:r w:rsidRPr="00363DD8">
        <w:rPr>
          <w:rFonts w:ascii="Times New Roman" w:hAnsi="Times New Roman" w:cs="Times New Roman"/>
          <w:i/>
          <w:iCs/>
          <w:color w:val="5B9BD5" w:themeColor="accent5"/>
          <w:lang w:val="en-GB"/>
        </w:rPr>
        <w:t>&lt;Italicized&gt;</w:t>
      </w:r>
      <w:r w:rsidRPr="00363DD8" w:rsidR="004E4875">
        <w:rPr>
          <w:rFonts w:ascii="Times New Roman" w:hAnsi="Times New Roman" w:cs="Times New Roman"/>
          <w:bCs/>
          <w:i/>
          <w:iCs/>
          <w:lang w:val="en-GB"/>
        </w:rPr>
        <w:t xml:space="preserve"> </w:t>
      </w:r>
      <w:r w:rsidRPr="00363DD8">
        <w:rPr>
          <w:rFonts w:ascii="Times New Roman" w:hAnsi="Times New Roman" w:cs="Times New Roman"/>
          <w:bCs/>
          <w:lang w:val="en-GB"/>
        </w:rPr>
        <w:t>examples</w:t>
      </w:r>
      <w:r w:rsidRPr="00363DD8" w:rsidR="004F27D5">
        <w:rPr>
          <w:rFonts w:ascii="Times New Roman" w:hAnsi="Times New Roman" w:cs="Times New Roman"/>
          <w:bCs/>
          <w:lang w:val="en-GB"/>
        </w:rPr>
        <w:t xml:space="preserve"> in</w:t>
      </w:r>
      <w:r w:rsidRPr="00363DD8" w:rsidR="00C54F77">
        <w:rPr>
          <w:rFonts w:ascii="Times New Roman" w:hAnsi="Times New Roman" w:cs="Times New Roman"/>
          <w:bCs/>
          <w:lang w:val="en-GB"/>
        </w:rPr>
        <w:t xml:space="preserve"> </w:t>
      </w:r>
      <w:r w:rsidRPr="00363DD8" w:rsidR="00C54F77">
        <w:rPr>
          <w:rFonts w:ascii="Times New Roman" w:hAnsi="Times New Roman" w:cs="Times New Roman"/>
          <w:i/>
          <w:iCs/>
          <w:color w:val="5B9BD5" w:themeColor="accent5"/>
          <w:lang w:val="en-GB"/>
        </w:rPr>
        <w:t>blue</w:t>
      </w:r>
      <w:r w:rsidRPr="00363DD8">
        <w:rPr>
          <w:rFonts w:ascii="Times New Roman" w:hAnsi="Times New Roman" w:cs="Times New Roman"/>
          <w:i/>
          <w:iCs/>
          <w:color w:val="5B9BD5" w:themeColor="accent5"/>
          <w:sz w:val="20"/>
          <w:szCs w:val="20"/>
          <w:lang w:val="en-GB"/>
        </w:rPr>
        <w:t xml:space="preserve"> </w:t>
      </w:r>
      <w:r w:rsidRPr="00363DD8">
        <w:rPr>
          <w:rFonts w:ascii="Times New Roman" w:hAnsi="Times New Roman" w:cs="Times New Roman"/>
          <w:bCs/>
          <w:lang w:val="en-GB"/>
        </w:rPr>
        <w:t xml:space="preserve">have also been added in some areas to </w:t>
      </w:r>
      <w:r w:rsidRPr="00363DD8">
        <w:rPr>
          <w:rFonts w:ascii="Times New Roman" w:hAnsi="Times New Roman" w:cs="Times New Roman"/>
          <w:lang w:val="en-GB"/>
        </w:rPr>
        <w:t xml:space="preserve">reflect </w:t>
      </w:r>
      <w:r w:rsidRPr="00363DD8" w:rsidR="00716DE7">
        <w:rPr>
          <w:rFonts w:ascii="Times New Roman" w:hAnsi="Times New Roman" w:cs="Times New Roman"/>
          <w:lang w:val="en-GB"/>
        </w:rPr>
        <w:t>key recommendations</w:t>
      </w:r>
      <w:r w:rsidRPr="00363DD8">
        <w:rPr>
          <w:rFonts w:ascii="Times New Roman" w:hAnsi="Times New Roman" w:cs="Times New Roman"/>
          <w:lang w:val="en-GB"/>
        </w:rPr>
        <w:t xml:space="preserve"> </w:t>
      </w:r>
      <w:r w:rsidRPr="00363DD8" w:rsidR="00254FE6">
        <w:rPr>
          <w:rFonts w:ascii="Times New Roman" w:hAnsi="Times New Roman" w:cs="Times New Roman"/>
          <w:lang w:val="en-GB"/>
        </w:rPr>
        <w:t>t</w:t>
      </w:r>
      <w:r w:rsidRPr="00363DD8" w:rsidR="006A4BB7">
        <w:rPr>
          <w:rFonts w:ascii="Times New Roman" w:hAnsi="Times New Roman" w:cs="Times New Roman"/>
          <w:lang w:val="en-GB"/>
        </w:rPr>
        <w:t>hat can</w:t>
      </w:r>
      <w:r w:rsidRPr="00363DD8" w:rsidR="00254FE6">
        <w:rPr>
          <w:rFonts w:ascii="Times New Roman" w:hAnsi="Times New Roman" w:cs="Times New Roman"/>
          <w:lang w:val="en-GB"/>
        </w:rPr>
        <w:t xml:space="preserve"> guide and define</w:t>
      </w:r>
      <w:r w:rsidRPr="00363DD8">
        <w:rPr>
          <w:rFonts w:ascii="Times New Roman" w:hAnsi="Times New Roman" w:cs="Times New Roman"/>
          <w:lang w:val="en-GB"/>
        </w:rPr>
        <w:t xml:space="preserve"> </w:t>
      </w:r>
      <w:r w:rsidRPr="00363DD8" w:rsidR="00254FE6">
        <w:rPr>
          <w:rFonts w:ascii="Times New Roman" w:hAnsi="Times New Roman" w:cs="Times New Roman"/>
          <w:lang w:val="en-GB"/>
        </w:rPr>
        <w:t>your</w:t>
      </w:r>
      <w:r w:rsidRPr="00363DD8">
        <w:rPr>
          <w:rFonts w:ascii="Times New Roman" w:hAnsi="Times New Roman" w:cs="Times New Roman"/>
          <w:lang w:val="en-GB"/>
        </w:rPr>
        <w:t xml:space="preserve"> NITAG membership and functioning aspects. This can assist you to review, compare and develop or update </w:t>
      </w:r>
      <w:r w:rsidRPr="00363DD8" w:rsidR="004F27D5">
        <w:rPr>
          <w:rFonts w:ascii="Times New Roman" w:hAnsi="Times New Roman" w:cs="Times New Roman"/>
          <w:lang w:val="en-GB"/>
        </w:rPr>
        <w:t>the sections of your</w:t>
      </w:r>
      <w:r w:rsidRPr="00363DD8">
        <w:rPr>
          <w:rFonts w:ascii="Times New Roman" w:hAnsi="Times New Roman" w:cs="Times New Roman"/>
          <w:lang w:val="en-GB"/>
        </w:rPr>
        <w:t xml:space="preserve"> NITAG SOP</w:t>
      </w:r>
      <w:r w:rsidRPr="00363DD8" w:rsidR="00254FE6">
        <w:rPr>
          <w:rFonts w:ascii="Times New Roman" w:hAnsi="Times New Roman" w:cs="Times New Roman"/>
          <w:lang w:val="en-GB"/>
        </w:rPr>
        <w:t>.</w:t>
      </w:r>
      <w:r w:rsidRPr="00363DD8" w:rsidR="00AD4777">
        <w:rPr>
          <w:rFonts w:ascii="Times New Roman" w:hAnsi="Times New Roman" w:cs="Times New Roman"/>
          <w:lang w:val="en-GB"/>
        </w:rPr>
        <w:t xml:space="preserve"> In addition, t</w:t>
      </w:r>
      <w:r w:rsidRPr="00363DD8" w:rsidR="00254FE6">
        <w:rPr>
          <w:rFonts w:ascii="Times New Roman" w:hAnsi="Times New Roman" w:cs="Times New Roman"/>
          <w:lang w:val="en-GB"/>
        </w:rPr>
        <w:t>he following</w:t>
      </w:r>
      <w:r w:rsidRPr="00363DD8" w:rsidR="00CF3438">
        <w:rPr>
          <w:rFonts w:ascii="Times New Roman" w:hAnsi="Times New Roman" w:cs="Times New Roman"/>
          <w:lang w:val="en-GB"/>
        </w:rPr>
        <w:t xml:space="preserve"> NITAG SOP </w:t>
      </w:r>
      <w:r w:rsidRPr="00363DD8" w:rsidR="006A4BB7">
        <w:rPr>
          <w:rFonts w:ascii="Times New Roman" w:hAnsi="Times New Roman" w:cs="Times New Roman"/>
          <w:lang w:val="en-GB"/>
        </w:rPr>
        <w:t xml:space="preserve">country </w:t>
      </w:r>
      <w:r w:rsidRPr="00363DD8" w:rsidR="00CF3438">
        <w:rPr>
          <w:rFonts w:ascii="Times New Roman" w:hAnsi="Times New Roman" w:cs="Times New Roman"/>
          <w:lang w:val="en-GB"/>
        </w:rPr>
        <w:t>example</w:t>
      </w:r>
      <w:r w:rsidRPr="00363DD8" w:rsidR="00254FE6">
        <w:rPr>
          <w:rFonts w:ascii="Times New Roman" w:hAnsi="Times New Roman" w:cs="Times New Roman"/>
          <w:lang w:val="en-GB"/>
        </w:rPr>
        <w:t>s</w:t>
      </w:r>
      <w:r w:rsidRPr="00363DD8" w:rsidR="00CF3438">
        <w:rPr>
          <w:rFonts w:ascii="Times New Roman" w:hAnsi="Times New Roman" w:cs="Times New Roman"/>
          <w:lang w:val="en-GB"/>
        </w:rPr>
        <w:t xml:space="preserve"> can be accesse</w:t>
      </w:r>
      <w:r w:rsidRPr="00363DD8" w:rsidR="00254FE6">
        <w:rPr>
          <w:rFonts w:ascii="Times New Roman" w:hAnsi="Times New Roman" w:cs="Times New Roman"/>
          <w:lang w:val="en-GB"/>
        </w:rPr>
        <w:t>d</w:t>
      </w:r>
      <w:r w:rsidRPr="00363DD8" w:rsidR="00CF3438">
        <w:rPr>
          <w:rFonts w:ascii="Times New Roman" w:hAnsi="Times New Roman" w:cs="Times New Roman"/>
          <w:lang w:val="en-GB"/>
        </w:rPr>
        <w:t xml:space="preserve"> to help as a reference point a</w:t>
      </w:r>
      <w:r w:rsidRPr="00363DD8" w:rsidR="00AD4777">
        <w:rPr>
          <w:rFonts w:ascii="Times New Roman" w:hAnsi="Times New Roman" w:cs="Times New Roman"/>
          <w:lang w:val="en-GB"/>
        </w:rPr>
        <w:t>nd for adaptation purposes</w:t>
      </w:r>
      <w:r w:rsidRPr="00363DD8" w:rsidR="00254FE6">
        <w:rPr>
          <w:rFonts w:cstheme="minorHAnsi"/>
          <w:lang w:val="en-GB"/>
        </w:rPr>
        <w:t xml:space="preserve">: </w:t>
      </w:r>
      <w:hyperlink w:history="1" r:id="rId5">
        <w:r w:rsidRPr="00363DD8" w:rsidR="00254FE6">
          <w:rPr>
            <w:rStyle w:val="Hyperlink"/>
            <w:rFonts w:cstheme="minorHAnsi"/>
            <w:lang w:val="en-GB"/>
          </w:rPr>
          <w:t>Bahrain</w:t>
        </w:r>
      </w:hyperlink>
      <w:r w:rsidRPr="00363DD8" w:rsidR="00254FE6">
        <w:rPr>
          <w:rFonts w:cstheme="minorHAnsi"/>
          <w:lang w:val="en-GB"/>
        </w:rPr>
        <w:t xml:space="preserve">, </w:t>
      </w:r>
      <w:hyperlink w:history="1" r:id="rId6">
        <w:r w:rsidRPr="00363DD8" w:rsidR="00254FE6">
          <w:rPr>
            <w:rStyle w:val="Hyperlink"/>
            <w:rFonts w:cstheme="minorHAnsi"/>
            <w:lang w:val="en-GB"/>
          </w:rPr>
          <w:t>Nepal</w:t>
        </w:r>
      </w:hyperlink>
      <w:r w:rsidRPr="00363DD8" w:rsidR="00254FE6">
        <w:rPr>
          <w:rFonts w:cstheme="minorHAnsi"/>
          <w:lang w:val="en-GB"/>
        </w:rPr>
        <w:t xml:space="preserve">, </w:t>
      </w:r>
      <w:hyperlink w:history="1" r:id="rId7">
        <w:r w:rsidRPr="00363DD8" w:rsidR="00254FE6">
          <w:rPr>
            <w:rStyle w:val="Hyperlink"/>
            <w:rFonts w:cstheme="minorHAnsi"/>
            <w:lang w:val="en-GB"/>
          </w:rPr>
          <w:t>USA</w:t>
        </w:r>
      </w:hyperlink>
      <w:r w:rsidRPr="00363DD8" w:rsidR="00254FE6">
        <w:rPr>
          <w:rFonts w:cstheme="minorHAnsi"/>
          <w:lang w:val="en-GB"/>
        </w:rPr>
        <w:t xml:space="preserve">, </w:t>
      </w:r>
      <w:hyperlink w:history="1" r:id="rId8">
        <w:r w:rsidRPr="00363DD8" w:rsidR="00254FE6">
          <w:rPr>
            <w:rStyle w:val="Hyperlink"/>
            <w:rFonts w:cstheme="minorHAnsi"/>
            <w:lang w:val="en-GB"/>
          </w:rPr>
          <w:t>Chile</w:t>
        </w:r>
      </w:hyperlink>
      <w:r w:rsidRPr="00363DD8" w:rsidR="00254FE6">
        <w:rPr>
          <w:rFonts w:cstheme="minorHAnsi"/>
          <w:lang w:val="en-GB"/>
        </w:rPr>
        <w:t xml:space="preserve">, </w:t>
      </w:r>
      <w:hyperlink w:history="1" r:id="rId9">
        <w:r w:rsidRPr="00363DD8" w:rsidR="00254FE6">
          <w:rPr>
            <w:rStyle w:val="Hyperlink"/>
            <w:rFonts w:cstheme="minorHAnsi"/>
            <w:lang w:val="en-GB"/>
          </w:rPr>
          <w:t>Canada</w:t>
        </w:r>
      </w:hyperlink>
      <w:r w:rsidRPr="00363DD8" w:rsidR="00254FE6">
        <w:rPr>
          <w:rFonts w:cstheme="minorHAnsi"/>
          <w:lang w:val="en-GB"/>
        </w:rPr>
        <w:t xml:space="preserve">, </w:t>
      </w:r>
      <w:hyperlink w:history="1" r:id="rId10">
        <w:r w:rsidRPr="00363DD8" w:rsidR="00254FE6">
          <w:rPr>
            <w:rStyle w:val="Hyperlink"/>
            <w:rFonts w:cstheme="minorHAnsi"/>
            <w:lang w:val="en-GB"/>
          </w:rPr>
          <w:t>Cote d’Ivoire</w:t>
        </w:r>
      </w:hyperlink>
    </w:p>
    <w:p w:rsidRPr="00363DD8" w:rsidR="00254FE6" w:rsidP="2DB0A83D" w:rsidRDefault="00722AEE" w14:paraId="242DAC78" w14:textId="0CE36941">
      <w:pPr>
        <w:spacing w:before="100" w:beforeAutospacing="on" w:after="100" w:afterAutospacing="on"/>
        <w:jc w:val="both"/>
        <w:rPr>
          <w:rFonts w:ascii="Times New Roman" w:hAnsi="Times New Roman" w:cs="Times New Roman"/>
          <w:lang w:val="en-GB"/>
        </w:rPr>
      </w:pPr>
      <w:r w:rsidRPr="2DB0A83D" w:rsidR="00722AEE">
        <w:rPr>
          <w:rFonts w:ascii="Times New Roman" w:hAnsi="Times New Roman" w:cs="Times New Roman"/>
          <w:lang w:val="en-GB"/>
        </w:rPr>
        <w:t>The NITAG Secretariat checklist</w:t>
      </w:r>
      <w:r w:rsidRPr="2DB0A83D" w:rsidR="006A4BB7">
        <w:rPr>
          <w:rFonts w:ascii="Times New Roman" w:hAnsi="Times New Roman" w:cs="Times New Roman"/>
          <w:lang w:val="en-GB"/>
        </w:rPr>
        <w:t xml:space="preserve">, accessible </w:t>
      </w:r>
      <w:hyperlink r:id="R8d5a6b2733614de1">
        <w:r w:rsidRPr="2DB0A83D" w:rsidR="006A4BB7">
          <w:rPr>
            <w:rStyle w:val="Hyperlink"/>
            <w:rFonts w:ascii="Times New Roman" w:hAnsi="Times New Roman" w:cs="Times New Roman"/>
            <w:lang w:val="en-GB"/>
          </w:rPr>
          <w:t>here</w:t>
        </w:r>
      </w:hyperlink>
      <w:r w:rsidRPr="2DB0A83D" w:rsidR="00722AEE">
        <w:rPr>
          <w:rFonts w:ascii="Times New Roman" w:hAnsi="Times New Roman" w:cs="Times New Roman"/>
          <w:lang w:val="en-GB"/>
        </w:rPr>
        <w:t xml:space="preserve"> is another useful reference document</w:t>
      </w:r>
      <w:r w:rsidRPr="2DB0A83D" w:rsidR="006A4BB7">
        <w:rPr>
          <w:rFonts w:ascii="Times New Roman" w:hAnsi="Times New Roman" w:cs="Times New Roman"/>
          <w:lang w:val="en-GB"/>
        </w:rPr>
        <w:t xml:space="preserve"> </w:t>
      </w:r>
      <w:r w:rsidRPr="2DB0A83D" w:rsidR="00722AEE">
        <w:rPr>
          <w:rFonts w:ascii="Times New Roman" w:hAnsi="Times New Roman" w:cs="Times New Roman"/>
          <w:lang w:val="en-GB"/>
        </w:rPr>
        <w:t>that can assist you with detailed tips, suggestions and links to training resources to better understand the roles, responsibilities</w:t>
      </w:r>
      <w:r w:rsidRPr="2DB0A83D" w:rsidR="00A912A8">
        <w:rPr>
          <w:rFonts w:ascii="Times New Roman" w:hAnsi="Times New Roman" w:cs="Times New Roman"/>
          <w:lang w:val="en-GB"/>
        </w:rPr>
        <w:t xml:space="preserve">, functions </w:t>
      </w:r>
      <w:r w:rsidRPr="2DB0A83D" w:rsidR="00722AEE">
        <w:rPr>
          <w:rFonts w:ascii="Times New Roman" w:hAnsi="Times New Roman" w:cs="Times New Roman"/>
          <w:lang w:val="en-GB"/>
        </w:rPr>
        <w:t xml:space="preserve">and procedures enlisted below. </w:t>
      </w:r>
    </w:p>
    <w:p w:rsidRPr="00363DD8" w:rsidR="009B37CF" w:rsidP="002E6068" w:rsidRDefault="009B37CF" w14:paraId="0D04E1D1" w14:textId="7F82A0CB">
      <w:pPr>
        <w:spacing w:before="100" w:beforeAutospacing="1" w:after="100" w:afterAutospacing="1"/>
        <w:jc w:val="both"/>
        <w:rPr>
          <w:rFonts w:ascii="Times New Roman" w:hAnsi="Times New Roman" w:eastAsia="Times New Roman" w:cs="Times New Roman"/>
          <w:b/>
          <w:bCs/>
          <w:lang w:val="en-GB" w:eastAsia="en-GB"/>
        </w:rPr>
      </w:pPr>
    </w:p>
    <w:p w:rsidRPr="00363DD8" w:rsidR="00E80279" w:rsidP="00E80279" w:rsidRDefault="00E80279" w14:paraId="5691DD2A" w14:textId="400EC380">
      <w:pPr>
        <w:spacing w:before="100" w:beforeAutospacing="1" w:after="100" w:afterAutospacing="1"/>
        <w:jc w:val="center"/>
        <w:rPr>
          <w:rFonts w:ascii="Times New Roman" w:hAnsi="Times New Roman" w:eastAsia="Times New Roman" w:cs="Times New Roman"/>
          <w:b/>
          <w:bCs/>
          <w:sz w:val="28"/>
          <w:szCs w:val="28"/>
          <w:lang w:val="en-GB" w:eastAsia="en-GB"/>
        </w:rPr>
      </w:pPr>
      <w:r w:rsidRPr="00363DD8">
        <w:rPr>
          <w:rFonts w:ascii="Times New Roman" w:hAnsi="Times New Roman" w:eastAsia="Times New Roman" w:cs="Times New Roman"/>
          <w:b/>
          <w:bCs/>
          <w:sz w:val="28"/>
          <w:szCs w:val="28"/>
          <w:lang w:val="en-GB" w:eastAsia="en-GB"/>
        </w:rPr>
        <w:t>&lt;Insert NITAG Acronym&gt;: Standard Operating Procedure</w:t>
      </w:r>
    </w:p>
    <w:p w:rsidRPr="00363DD8" w:rsidR="00E80279" w:rsidP="002E6068" w:rsidRDefault="00E80279" w14:paraId="515F782B" w14:textId="77777777">
      <w:pPr>
        <w:spacing w:before="100" w:beforeAutospacing="1" w:after="100" w:afterAutospacing="1"/>
        <w:jc w:val="both"/>
        <w:rPr>
          <w:rFonts w:ascii="Times New Roman" w:hAnsi="Times New Roman" w:eastAsia="Times New Roman" w:cs="Times New Roman"/>
          <w:b/>
          <w:bCs/>
          <w:lang w:val="en-GB" w:eastAsia="en-GB"/>
        </w:rPr>
      </w:pPr>
    </w:p>
    <w:p w:rsidRPr="00363DD8" w:rsidR="00246CC0" w:rsidP="002E6068" w:rsidRDefault="00246CC0" w14:paraId="274FFAD5" w14:textId="41BF15D1">
      <w:pPr>
        <w:spacing w:before="100" w:beforeAutospacing="1" w:after="100" w:afterAutospacing="1"/>
        <w:jc w:val="both"/>
        <w:rPr>
          <w:rFonts w:ascii="Times New Roman" w:hAnsi="Times New Roman" w:eastAsia="Times New Roman" w:cs="Times New Roman"/>
          <w:u w:val="single"/>
          <w:lang w:val="en-GB" w:eastAsia="en-GB"/>
        </w:rPr>
      </w:pPr>
      <w:r w:rsidRPr="00363DD8">
        <w:rPr>
          <w:rFonts w:ascii="Times New Roman" w:hAnsi="Times New Roman" w:eastAsia="Times New Roman" w:cs="Times New Roman"/>
          <w:b/>
          <w:bCs/>
          <w:u w:val="single"/>
          <w:lang w:val="en-GB" w:eastAsia="en-GB"/>
        </w:rPr>
        <w:t>Terms of Reference</w:t>
      </w:r>
      <w:r w:rsidRPr="00363DD8" w:rsidR="002E6068">
        <w:rPr>
          <w:rFonts w:ascii="Times New Roman" w:hAnsi="Times New Roman" w:eastAsia="Times New Roman" w:cs="Times New Roman"/>
          <w:b/>
          <w:bCs/>
          <w:u w:val="single"/>
          <w:lang w:val="en-GB" w:eastAsia="en-GB"/>
        </w:rPr>
        <w:t>:</w:t>
      </w:r>
      <w:r w:rsidRPr="00363DD8">
        <w:rPr>
          <w:rFonts w:ascii="Times New Roman" w:hAnsi="Times New Roman" w:eastAsia="Times New Roman" w:cs="Times New Roman"/>
          <w:b/>
          <w:bCs/>
          <w:u w:val="single"/>
          <w:lang w:val="en-GB" w:eastAsia="en-GB"/>
        </w:rPr>
        <w:t xml:space="preserve"> </w:t>
      </w:r>
    </w:p>
    <w:p w:rsidRPr="00363DD8" w:rsidR="00246CC0" w:rsidP="002E6068" w:rsidRDefault="009B37CF" w14:paraId="0CC66A1C" w14:textId="112ABAB5">
      <w:pPr>
        <w:spacing w:before="100" w:beforeAutospacing="1" w:after="100" w:afterAutospacing="1"/>
        <w:jc w:val="both"/>
        <w:rPr>
          <w:rFonts w:ascii="Times New Roman" w:hAnsi="Times New Roman" w:eastAsia="Times New Roman" w:cs="Times New Roman"/>
          <w:lang w:val="en-GB" w:eastAsia="en-GB"/>
        </w:rPr>
      </w:pPr>
      <w:r w:rsidRPr="00363DD8">
        <w:rPr>
          <w:rFonts w:ascii="Times New Roman" w:hAnsi="Times New Roman" w:eastAsia="Times New Roman" w:cs="Times New Roman"/>
          <w:lang w:val="en-GB" w:eastAsia="en-GB"/>
        </w:rPr>
        <w:t>&lt;Insert the purpose</w:t>
      </w:r>
      <w:r w:rsidRPr="00363DD8" w:rsidR="00CD3F05">
        <w:rPr>
          <w:rFonts w:ascii="Times New Roman" w:hAnsi="Times New Roman" w:eastAsia="Times New Roman" w:cs="Times New Roman"/>
          <w:lang w:val="en-GB" w:eastAsia="en-GB"/>
        </w:rPr>
        <w:t xml:space="preserve"> or mandate</w:t>
      </w:r>
      <w:r w:rsidRPr="00363DD8">
        <w:rPr>
          <w:rFonts w:ascii="Times New Roman" w:hAnsi="Times New Roman" w:eastAsia="Times New Roman" w:cs="Times New Roman"/>
          <w:lang w:val="en-GB" w:eastAsia="en-GB"/>
        </w:rPr>
        <w:t xml:space="preserve"> of your NITAG, </w:t>
      </w:r>
      <w:r w:rsidRPr="00363DD8" w:rsidR="00A912A8">
        <w:rPr>
          <w:rFonts w:ascii="Times New Roman" w:hAnsi="Times New Roman" w:eastAsia="Times New Roman" w:cs="Times New Roman"/>
          <w:lang w:val="en-GB" w:eastAsia="en-GB"/>
        </w:rPr>
        <w:t xml:space="preserve">state </w:t>
      </w:r>
      <w:r w:rsidRPr="00363DD8">
        <w:rPr>
          <w:rFonts w:ascii="Times New Roman" w:hAnsi="Times New Roman" w:eastAsia="Times New Roman" w:cs="Times New Roman"/>
          <w:lang w:val="en-GB" w:eastAsia="en-GB"/>
        </w:rPr>
        <w:t>the objective and the scope of activities</w:t>
      </w:r>
      <w:r w:rsidRPr="00363DD8" w:rsidR="00C707AA">
        <w:rPr>
          <w:rFonts w:ascii="Times New Roman" w:hAnsi="Times New Roman" w:eastAsia="Times New Roman" w:cs="Times New Roman"/>
          <w:lang w:val="en-GB" w:eastAsia="en-GB"/>
        </w:rPr>
        <w:t xml:space="preserve"> </w:t>
      </w:r>
      <w:r w:rsidRPr="00363DD8" w:rsidR="00246CC0">
        <w:rPr>
          <w:rFonts w:ascii="Times New Roman" w:hAnsi="Times New Roman" w:eastAsia="Times New Roman" w:cs="Times New Roman"/>
          <w:lang w:val="en-GB" w:eastAsia="en-GB"/>
        </w:rPr>
        <w:t>delineated by the Ministerial decree</w:t>
      </w:r>
      <w:r w:rsidRPr="00363DD8" w:rsidR="00C707AA">
        <w:rPr>
          <w:rFonts w:ascii="Times New Roman" w:hAnsi="Times New Roman" w:eastAsia="Times New Roman" w:cs="Times New Roman"/>
          <w:lang w:val="en-GB" w:eastAsia="en-GB"/>
        </w:rPr>
        <w:t>&gt;</w:t>
      </w:r>
      <w:r w:rsidRPr="00363DD8" w:rsidR="00246CC0">
        <w:rPr>
          <w:rFonts w:ascii="Times New Roman" w:hAnsi="Times New Roman" w:eastAsia="Times New Roman" w:cs="Times New Roman"/>
          <w:lang w:val="en-GB" w:eastAsia="en-GB"/>
        </w:rPr>
        <w:t xml:space="preserve"> </w:t>
      </w:r>
    </w:p>
    <w:p w:rsidRPr="00363DD8" w:rsidR="00C707AA" w:rsidP="002E6068" w:rsidRDefault="00C707AA" w14:paraId="2EDDA9E2" w14:textId="5AB4CD70">
      <w:pPr>
        <w:spacing w:before="100" w:beforeAutospacing="1" w:after="100" w:afterAutospacing="1"/>
        <w:jc w:val="both"/>
        <w:rPr>
          <w:rFonts w:ascii="Times New Roman" w:hAnsi="Times New Roman" w:eastAsia="Times New Roman" w:cs="Times New Roman"/>
          <w:b/>
          <w:bCs/>
          <w:u w:val="single"/>
          <w:lang w:val="en-GB" w:eastAsia="en-GB"/>
        </w:rPr>
      </w:pPr>
      <w:r w:rsidRPr="00363DD8">
        <w:rPr>
          <w:rFonts w:ascii="Times New Roman" w:hAnsi="Times New Roman" w:eastAsia="Times New Roman" w:cs="Times New Roman"/>
          <w:b/>
          <w:bCs/>
          <w:u w:val="single"/>
          <w:lang w:val="en-GB" w:eastAsia="en-GB"/>
        </w:rPr>
        <w:t>Membership</w:t>
      </w:r>
      <w:r w:rsidRPr="00363DD8" w:rsidR="002E6068">
        <w:rPr>
          <w:rFonts w:ascii="Times New Roman" w:hAnsi="Times New Roman" w:eastAsia="Times New Roman" w:cs="Times New Roman"/>
          <w:b/>
          <w:bCs/>
          <w:u w:val="single"/>
          <w:lang w:val="en-GB" w:eastAsia="en-GB"/>
        </w:rPr>
        <w:t>:</w:t>
      </w:r>
    </w:p>
    <w:p w:rsidRPr="00363DD8" w:rsidR="00F10CEC" w:rsidP="00F10CEC" w:rsidRDefault="00F10CEC" w14:paraId="4F547715" w14:textId="71299543">
      <w:pPr>
        <w:spacing w:before="100" w:beforeAutospacing="1" w:after="100" w:afterAutospacing="1"/>
        <w:jc w:val="both"/>
        <w:rPr>
          <w:rFonts w:ascii="Times New Roman" w:hAnsi="Times New Roman" w:eastAsia="Times New Roman" w:cs="Times New Roman"/>
          <w:lang w:val="en-GB" w:eastAsia="en-GB"/>
        </w:rPr>
      </w:pPr>
      <w:r w:rsidRPr="00363DD8">
        <w:rPr>
          <w:rFonts w:ascii="Times New Roman" w:hAnsi="Times New Roman" w:eastAsia="Times New Roman" w:cs="Times New Roman"/>
          <w:lang w:val="en-GB" w:eastAsia="en-GB"/>
        </w:rPr>
        <w:t xml:space="preserve">&lt;Insert the composition details </w:t>
      </w:r>
      <w:r w:rsidRPr="00363DD8" w:rsidR="00A912A8">
        <w:rPr>
          <w:rFonts w:ascii="Times New Roman" w:hAnsi="Times New Roman" w:eastAsia="Times New Roman" w:cs="Times New Roman"/>
          <w:lang w:val="en-GB" w:eastAsia="en-GB"/>
        </w:rPr>
        <w:t xml:space="preserve">and </w:t>
      </w:r>
      <w:r w:rsidRPr="00363DD8">
        <w:rPr>
          <w:rFonts w:ascii="Times New Roman" w:hAnsi="Times New Roman" w:eastAsia="Times New Roman" w:cs="Times New Roman"/>
          <w:lang w:val="en-GB" w:eastAsia="en-GB"/>
        </w:rPr>
        <w:t xml:space="preserve">size of your NITAG. How many </w:t>
      </w:r>
      <w:proofErr w:type="gramStart"/>
      <w:r w:rsidRPr="00363DD8">
        <w:rPr>
          <w:rFonts w:ascii="Times New Roman" w:hAnsi="Times New Roman" w:eastAsia="Times New Roman" w:cs="Times New Roman"/>
          <w:lang w:val="en-GB" w:eastAsia="en-GB"/>
        </w:rPr>
        <w:t>core</w:t>
      </w:r>
      <w:proofErr w:type="gramEnd"/>
      <w:r w:rsidRPr="00363DD8">
        <w:rPr>
          <w:rFonts w:ascii="Times New Roman" w:hAnsi="Times New Roman" w:eastAsia="Times New Roman" w:cs="Times New Roman"/>
          <w:lang w:val="en-GB" w:eastAsia="en-GB"/>
        </w:rPr>
        <w:t xml:space="preserve"> and non-core members are present in your NITAG?&gt;</w:t>
      </w:r>
    </w:p>
    <w:p w:rsidRPr="00363DD8" w:rsidR="00F10CEC" w:rsidP="00F10CEC" w:rsidRDefault="00A912A8" w14:paraId="2F017A71" w14:textId="6245BC3F">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&lt;</w:t>
      </w:r>
      <w:r w:rsidRPr="00363DD8" w:rsidR="002E724B">
        <w:rPr>
          <w:rFonts w:ascii="Times New Roman" w:hAnsi="Times New Roman" w:cs="Times New Roman"/>
          <w:i/>
          <w:iCs/>
          <w:color w:val="5B9BD5" w:themeColor="accent5"/>
          <w:sz w:val="20"/>
          <w:szCs w:val="20"/>
          <w:lang w:val="en-GB"/>
        </w:rPr>
        <w:t>The r</w:t>
      </w:r>
      <w:r w:rsidRPr="00363DD8" w:rsidR="00F10CEC">
        <w:rPr>
          <w:rFonts w:ascii="Times New Roman" w:hAnsi="Times New Roman" w:cs="Times New Roman"/>
          <w:i/>
          <w:iCs/>
          <w:color w:val="5B9BD5" w:themeColor="accent5"/>
          <w:sz w:val="20"/>
          <w:szCs w:val="20"/>
          <w:lang w:val="en-GB"/>
        </w:rPr>
        <w:t>ecommend</w:t>
      </w:r>
      <w:r w:rsidRPr="00363DD8" w:rsidR="002E724B">
        <w:rPr>
          <w:rFonts w:ascii="Times New Roman" w:hAnsi="Times New Roman" w:cs="Times New Roman"/>
          <w:i/>
          <w:iCs/>
          <w:color w:val="5B9BD5" w:themeColor="accent5"/>
          <w:sz w:val="20"/>
          <w:szCs w:val="20"/>
          <w:lang w:val="en-GB"/>
        </w:rPr>
        <w:t>ed</w:t>
      </w:r>
      <w:r w:rsidRPr="00363DD8" w:rsidR="00F10CEC">
        <w:rPr>
          <w:rFonts w:ascii="Times New Roman" w:hAnsi="Times New Roman" w:cs="Times New Roman"/>
          <w:i/>
          <w:iCs/>
          <w:color w:val="5B9BD5" w:themeColor="accent5"/>
          <w:sz w:val="20"/>
          <w:szCs w:val="20"/>
          <w:lang w:val="en-GB"/>
        </w:rPr>
        <w:t xml:space="preserve"> number of core voting members in a NITAG should ideally be 10-15 members as it enables manageable discussion and allows functioning if all members are not present (quorum required by internal NITAG procedures is ideally half + one member). Having an odd number is useful for tie-breaking and having this limited number also helps minimize budget for meetings</w:t>
      </w:r>
      <w:r w:rsidRPr="00363DD8">
        <w:rPr>
          <w:rFonts w:ascii="Times New Roman" w:hAnsi="Times New Roman" w:cs="Times New Roman"/>
          <w:i/>
          <w:iCs/>
          <w:color w:val="5B9BD5" w:themeColor="accent5"/>
          <w:sz w:val="20"/>
          <w:szCs w:val="20"/>
          <w:lang w:val="en-GB"/>
        </w:rPr>
        <w:t>&gt;</w:t>
      </w:r>
    </w:p>
    <w:p w:rsidRPr="00363DD8" w:rsidR="00994508" w:rsidP="004F27D5" w:rsidRDefault="00F10CEC" w14:paraId="37928302" w14:textId="2E5AE7AD">
      <w:pPr>
        <w:spacing w:before="100" w:beforeAutospacing="1" w:after="100" w:afterAutospacing="1"/>
        <w:jc w:val="both"/>
        <w:rPr>
          <w:rFonts w:ascii="Times New Roman" w:hAnsi="Times New Roman" w:eastAsia="Times New Roman" w:cs="Times New Roman"/>
          <w:lang w:val="en-GB" w:eastAsia="en-GB"/>
        </w:rPr>
      </w:pPr>
      <w:r w:rsidRPr="00363DD8">
        <w:rPr>
          <w:rFonts w:ascii="Times New Roman" w:hAnsi="Times New Roman" w:eastAsia="Times New Roman" w:cs="Times New Roman"/>
          <w:lang w:val="en-GB" w:eastAsia="en-GB"/>
        </w:rPr>
        <w:t xml:space="preserve">&lt;List the </w:t>
      </w:r>
      <w:r w:rsidRPr="00363DD8" w:rsidR="00E7783D">
        <w:rPr>
          <w:rFonts w:ascii="Times New Roman" w:hAnsi="Times New Roman" w:eastAsia="Times New Roman" w:cs="Times New Roman"/>
          <w:lang w:val="en-GB" w:eastAsia="en-GB"/>
        </w:rPr>
        <w:t xml:space="preserve">job </w:t>
      </w:r>
      <w:r w:rsidRPr="00363DD8">
        <w:rPr>
          <w:rFonts w:ascii="Times New Roman" w:hAnsi="Times New Roman" w:eastAsia="Times New Roman" w:cs="Times New Roman"/>
          <w:lang w:val="en-GB" w:eastAsia="en-GB"/>
        </w:rPr>
        <w:t>titles of the core, ex-</w:t>
      </w:r>
      <w:r w:rsidRPr="00363DD8" w:rsidR="00E7783D">
        <w:rPr>
          <w:rFonts w:ascii="Times New Roman" w:hAnsi="Times New Roman" w:eastAsia="Times New Roman" w:cs="Times New Roman"/>
          <w:lang w:val="en-GB" w:eastAsia="en-GB"/>
        </w:rPr>
        <w:t>officio, and liaison members. Specify their</w:t>
      </w:r>
      <w:r w:rsidRPr="00363DD8">
        <w:rPr>
          <w:rFonts w:ascii="Times New Roman" w:hAnsi="Times New Roman" w:eastAsia="Times New Roman" w:cs="Times New Roman"/>
          <w:lang w:val="en-GB" w:eastAsia="en-GB"/>
        </w:rPr>
        <w:t xml:space="preserve"> technical expertise</w:t>
      </w:r>
      <w:r w:rsidRPr="00363DD8" w:rsidR="00E7783D">
        <w:rPr>
          <w:rFonts w:ascii="Times New Roman" w:hAnsi="Times New Roman" w:eastAsia="Times New Roman" w:cs="Times New Roman"/>
          <w:lang w:val="en-GB" w:eastAsia="en-GB"/>
        </w:rPr>
        <w:t>&gt;</w:t>
      </w:r>
    </w:p>
    <w:p w:rsidRPr="00363DD8" w:rsidR="00E7783D" w:rsidP="00E7783D" w:rsidRDefault="00A912A8" w14:paraId="5D9C05C7" w14:textId="2853ADE1">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&lt;</w:t>
      </w:r>
      <w:r w:rsidRPr="00363DD8" w:rsidR="00E7783D">
        <w:rPr>
          <w:rFonts w:ascii="Times New Roman" w:hAnsi="Times New Roman" w:cs="Times New Roman"/>
          <w:i/>
          <w:iCs/>
          <w:color w:val="5B9BD5" w:themeColor="accent5"/>
          <w:sz w:val="20"/>
          <w:szCs w:val="20"/>
          <w:lang w:val="en-GB"/>
        </w:rPr>
        <w:t xml:space="preserve">Core members should not be </w:t>
      </w:r>
      <w:proofErr w:type="spellStart"/>
      <w:r w:rsidRPr="00363DD8" w:rsidR="00E7783D">
        <w:rPr>
          <w:rFonts w:ascii="Times New Roman" w:hAnsi="Times New Roman" w:cs="Times New Roman"/>
          <w:i/>
          <w:iCs/>
          <w:color w:val="5B9BD5" w:themeColor="accent5"/>
          <w:sz w:val="20"/>
          <w:szCs w:val="20"/>
          <w:lang w:val="en-GB"/>
        </w:rPr>
        <w:t>MoH</w:t>
      </w:r>
      <w:proofErr w:type="spellEnd"/>
      <w:r w:rsidRPr="00363DD8" w:rsidR="00E7783D">
        <w:rPr>
          <w:rFonts w:ascii="Times New Roman" w:hAnsi="Times New Roman" w:cs="Times New Roman"/>
          <w:i/>
          <w:iCs/>
          <w:color w:val="5B9BD5" w:themeColor="accent5"/>
          <w:sz w:val="20"/>
          <w:szCs w:val="20"/>
          <w:lang w:val="en-GB"/>
        </w:rPr>
        <w:t xml:space="preserve"> or immunization programme employees (nor have a direct or indirect supervisory relationship with them). In addition, they must not be associated or employed by pharmaceutical companies.</w:t>
      </w:r>
    </w:p>
    <w:p w:rsidRPr="00363DD8" w:rsidR="00E7783D" w:rsidP="00E7783D" w:rsidRDefault="00E7783D" w14:paraId="67D3D436" w14:textId="44810F75">
      <w:pPr>
        <w:jc w:val="both"/>
        <w:rPr>
          <w:rFonts w:ascii="Times New Roman" w:hAnsi="Times New Roman" w:cs="Times New Roman"/>
          <w:i/>
          <w:iCs/>
          <w:color w:val="5B9BD5" w:themeColor="accent5"/>
          <w:sz w:val="20"/>
          <w:szCs w:val="20"/>
          <w:lang w:val="en-GB"/>
        </w:rPr>
      </w:pPr>
    </w:p>
    <w:p w:rsidRPr="00363DD8" w:rsidR="00E7783D" w:rsidP="00E7783D" w:rsidRDefault="00E7783D" w14:paraId="39092ECC" w14:textId="59562AAD">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 xml:space="preserve">Ex-officio members should be selected due to their key positions in government agencies that represent immunization aspects, i.e., </w:t>
      </w:r>
      <w:proofErr w:type="spellStart"/>
      <w:r w:rsidRPr="00363DD8">
        <w:rPr>
          <w:rFonts w:ascii="Times New Roman" w:hAnsi="Times New Roman" w:cs="Times New Roman"/>
          <w:i/>
          <w:iCs/>
          <w:color w:val="5B9BD5" w:themeColor="accent5"/>
          <w:sz w:val="20"/>
          <w:szCs w:val="20"/>
          <w:lang w:val="en-GB"/>
        </w:rPr>
        <w:t>MoH</w:t>
      </w:r>
      <w:proofErr w:type="spellEnd"/>
      <w:r w:rsidRPr="00363DD8">
        <w:rPr>
          <w:rFonts w:ascii="Times New Roman" w:hAnsi="Times New Roman" w:cs="Times New Roman"/>
          <w:i/>
          <w:iCs/>
          <w:color w:val="5B9BD5" w:themeColor="accent5"/>
          <w:sz w:val="20"/>
          <w:szCs w:val="20"/>
          <w:lang w:val="en-GB"/>
        </w:rPr>
        <w:t xml:space="preserve"> officials (heads of departments, specialists) vaccine licensing bodies, vaccine control laboratory, </w:t>
      </w:r>
      <w:r w:rsidRPr="00363DD8" w:rsidR="00AD4777">
        <w:rPr>
          <w:rFonts w:ascii="Times New Roman" w:hAnsi="Times New Roman" w:cs="Times New Roman"/>
          <w:i/>
          <w:iCs/>
          <w:color w:val="5B9BD5" w:themeColor="accent5"/>
          <w:sz w:val="20"/>
          <w:szCs w:val="20"/>
          <w:lang w:val="en-GB"/>
        </w:rPr>
        <w:t xml:space="preserve">officials </w:t>
      </w:r>
      <w:r w:rsidRPr="00363DD8">
        <w:rPr>
          <w:rFonts w:ascii="Times New Roman" w:hAnsi="Times New Roman" w:cs="Times New Roman"/>
          <w:i/>
          <w:iCs/>
          <w:color w:val="5B9BD5" w:themeColor="accent5"/>
          <w:sz w:val="20"/>
          <w:szCs w:val="20"/>
          <w:lang w:val="en-GB"/>
        </w:rPr>
        <w:t>responsible for immunization programs, planning, education, finance.</w:t>
      </w:r>
    </w:p>
    <w:p w:rsidRPr="00363DD8" w:rsidR="00E7783D" w:rsidP="00E7783D" w:rsidRDefault="00E7783D" w14:paraId="3055253F" w14:textId="77777777">
      <w:pPr>
        <w:jc w:val="both"/>
        <w:rPr>
          <w:rFonts w:ascii="Times New Roman" w:hAnsi="Times New Roman" w:cs="Times New Roman"/>
          <w:i/>
          <w:iCs/>
          <w:color w:val="5B9BD5" w:themeColor="accent5"/>
          <w:sz w:val="20"/>
          <w:szCs w:val="20"/>
          <w:lang w:val="en-GB"/>
        </w:rPr>
      </w:pPr>
    </w:p>
    <w:p w:rsidRPr="00363DD8" w:rsidR="00E7783D" w:rsidP="00E7783D" w:rsidRDefault="00E7783D" w14:paraId="4D82B342" w14:textId="27EDCE15">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Liaison members can represent important professional societies, other national advisory committee, and key technical partners (WHO, UNICEF).</w:t>
      </w:r>
    </w:p>
    <w:p w:rsidRPr="00363DD8" w:rsidR="00E7783D" w:rsidP="00E7783D" w:rsidRDefault="00E7783D" w14:paraId="2A23CEDC" w14:textId="77777777">
      <w:pPr>
        <w:jc w:val="both"/>
        <w:rPr>
          <w:rFonts w:ascii="Times New Roman" w:hAnsi="Times New Roman" w:cs="Times New Roman"/>
          <w:i/>
          <w:iCs/>
          <w:color w:val="5B9BD5" w:themeColor="accent5"/>
          <w:sz w:val="20"/>
          <w:szCs w:val="20"/>
          <w:lang w:val="en-GB"/>
        </w:rPr>
      </w:pPr>
    </w:p>
    <w:p w:rsidRPr="00363DD8" w:rsidR="00E7783D" w:rsidP="00E7783D" w:rsidRDefault="00E7783D" w14:paraId="25B0D36A" w14:textId="2FA18A39">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Note: Industry should not be allowed in meetings and do not have the power to vote, but occasionally they can be invited to highly structured settings to provide specific information.</w:t>
      </w:r>
    </w:p>
    <w:p w:rsidRPr="00363DD8" w:rsidR="00DE101F" w:rsidP="00E7783D" w:rsidRDefault="00DE101F" w14:paraId="32B9A1C3" w14:textId="77777777">
      <w:pPr>
        <w:jc w:val="both"/>
        <w:rPr>
          <w:rFonts w:ascii="Times New Roman" w:hAnsi="Times New Roman" w:cs="Times New Roman"/>
          <w:i/>
          <w:iCs/>
          <w:color w:val="5B9BD5" w:themeColor="accent5"/>
          <w:sz w:val="20"/>
          <w:szCs w:val="20"/>
          <w:lang w:val="en-GB"/>
        </w:rPr>
      </w:pPr>
    </w:p>
    <w:p w:rsidRPr="00363DD8" w:rsidR="00CD3F05" w:rsidP="002E6068" w:rsidRDefault="00E7783D" w14:paraId="311033D4" w14:textId="0FB6010A">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lastRenderedPageBreak/>
        <w:t>With respect to technical expertise, WHO recommends a</w:t>
      </w:r>
      <w:r w:rsidRPr="00363DD8" w:rsidR="00994508">
        <w:rPr>
          <w:rFonts w:ascii="Times New Roman" w:hAnsi="Times New Roman" w:cs="Times New Roman"/>
          <w:i/>
          <w:iCs/>
          <w:color w:val="5B9BD5" w:themeColor="accent5"/>
          <w:sz w:val="20"/>
          <w:szCs w:val="20"/>
          <w:lang w:val="en-GB"/>
        </w:rPr>
        <w:t xml:space="preserve">t least 5 areas of </w:t>
      </w:r>
      <w:r w:rsidRPr="00363DD8">
        <w:rPr>
          <w:rFonts w:ascii="Times New Roman" w:hAnsi="Times New Roman" w:cs="Times New Roman"/>
          <w:i/>
          <w:iCs/>
          <w:color w:val="5B9BD5" w:themeColor="accent5"/>
          <w:sz w:val="20"/>
          <w:szCs w:val="20"/>
          <w:lang w:val="en-GB"/>
        </w:rPr>
        <w:t xml:space="preserve">technical </w:t>
      </w:r>
      <w:r w:rsidRPr="00363DD8" w:rsidR="00994508">
        <w:rPr>
          <w:rFonts w:ascii="Times New Roman" w:hAnsi="Times New Roman" w:cs="Times New Roman"/>
          <w:i/>
          <w:iCs/>
          <w:color w:val="5B9BD5" w:themeColor="accent5"/>
          <w:sz w:val="20"/>
          <w:szCs w:val="20"/>
          <w:lang w:val="en-GB"/>
        </w:rPr>
        <w:t>expertise</w:t>
      </w:r>
      <w:r w:rsidRPr="00363DD8">
        <w:rPr>
          <w:rFonts w:ascii="Times New Roman" w:hAnsi="Times New Roman" w:cs="Times New Roman"/>
          <w:i/>
          <w:iCs/>
          <w:color w:val="5B9BD5" w:themeColor="accent5"/>
          <w:sz w:val="20"/>
          <w:szCs w:val="20"/>
          <w:lang w:val="en-GB"/>
        </w:rPr>
        <w:t xml:space="preserve"> to be represented</w:t>
      </w:r>
      <w:r w:rsidRPr="00363DD8" w:rsidR="00994508">
        <w:rPr>
          <w:rFonts w:ascii="Times New Roman" w:hAnsi="Times New Roman" w:cs="Times New Roman"/>
          <w:i/>
          <w:iCs/>
          <w:color w:val="5B9BD5" w:themeColor="accent5"/>
          <w:sz w:val="20"/>
          <w:szCs w:val="20"/>
          <w:lang w:val="en-GB"/>
        </w:rPr>
        <w:t xml:space="preserve"> from these areas</w:t>
      </w:r>
      <w:r w:rsidRPr="00363DD8" w:rsidR="00AD4777">
        <w:rPr>
          <w:rFonts w:ascii="Times New Roman" w:hAnsi="Times New Roman" w:cs="Times New Roman"/>
          <w:i/>
          <w:iCs/>
          <w:color w:val="5B9BD5" w:themeColor="accent5"/>
          <w:sz w:val="20"/>
          <w:szCs w:val="20"/>
          <w:lang w:val="en-GB"/>
        </w:rPr>
        <w:t xml:space="preserve">: </w:t>
      </w:r>
      <w:r w:rsidRPr="00363DD8" w:rsidR="00994508">
        <w:rPr>
          <w:rFonts w:ascii="Times New Roman" w:hAnsi="Times New Roman" w:cs="Times New Roman"/>
          <w:i/>
          <w:iCs/>
          <w:color w:val="5B9BD5" w:themeColor="accent5"/>
          <w:sz w:val="20"/>
          <w:szCs w:val="20"/>
          <w:lang w:val="en-GB"/>
        </w:rPr>
        <w:t>clinical medicine (</w:t>
      </w:r>
      <w:r w:rsidRPr="00363DD8" w:rsidR="004A1769">
        <w:rPr>
          <w:rFonts w:ascii="Times New Roman" w:hAnsi="Times New Roman" w:cs="Times New Roman"/>
          <w:i/>
          <w:iCs/>
          <w:color w:val="5B9BD5" w:themeColor="accent5"/>
          <w:sz w:val="20"/>
          <w:szCs w:val="20"/>
          <w:lang w:val="en-GB"/>
        </w:rPr>
        <w:t>paediatrics</w:t>
      </w:r>
      <w:r w:rsidRPr="00363DD8" w:rsidR="00994508">
        <w:rPr>
          <w:rFonts w:ascii="Times New Roman" w:hAnsi="Times New Roman" w:cs="Times New Roman"/>
          <w:i/>
          <w:iCs/>
          <w:color w:val="5B9BD5" w:themeColor="accent5"/>
          <w:sz w:val="20"/>
          <w:szCs w:val="20"/>
          <w:lang w:val="en-GB"/>
        </w:rPr>
        <w:t>, adult medicine, geriatrics), epidemiology, infectious disease, microbiology, public health, immunology, vaccinology, immunization program, health systems and delivery, health economist, social scientist</w:t>
      </w:r>
    </w:p>
    <w:p w:rsidRPr="00363DD8" w:rsidR="00CD3F05" w:rsidP="002E6068" w:rsidRDefault="00CD3F05" w14:paraId="1D9009C6" w14:textId="77777777">
      <w:pPr>
        <w:jc w:val="both"/>
        <w:rPr>
          <w:rFonts w:ascii="Times New Roman" w:hAnsi="Times New Roman" w:cs="Times New Roman"/>
          <w:i/>
          <w:iCs/>
          <w:color w:val="5B9BD5" w:themeColor="accent5"/>
          <w:sz w:val="20"/>
          <w:szCs w:val="20"/>
          <w:lang w:val="en-GB"/>
        </w:rPr>
      </w:pPr>
    </w:p>
    <w:p w:rsidRPr="00363DD8" w:rsidR="00994508" w:rsidP="002E6068" w:rsidRDefault="00CD3F05" w14:paraId="598C1AAA" w14:textId="50272BBC">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Committee membership sh</w:t>
      </w:r>
      <w:r w:rsidR="00913633">
        <w:rPr>
          <w:rFonts w:ascii="Times New Roman" w:hAnsi="Times New Roman" w:cs="Times New Roman"/>
          <w:i/>
          <w:iCs/>
          <w:color w:val="5B9BD5" w:themeColor="accent5"/>
          <w:sz w:val="20"/>
          <w:szCs w:val="20"/>
          <w:lang w:val="en-GB"/>
        </w:rPr>
        <w:t>ould</w:t>
      </w:r>
      <w:r w:rsidRPr="00363DD8">
        <w:rPr>
          <w:rFonts w:ascii="Times New Roman" w:hAnsi="Times New Roman" w:cs="Times New Roman"/>
          <w:i/>
          <w:iCs/>
          <w:color w:val="5B9BD5" w:themeColor="accent5"/>
          <w:sz w:val="20"/>
          <w:szCs w:val="20"/>
          <w:lang w:val="en-GB"/>
        </w:rPr>
        <w:t xml:space="preserve"> be </w:t>
      </w:r>
      <w:r w:rsidRPr="00363DD8" w:rsidR="00913633">
        <w:rPr>
          <w:rFonts w:ascii="Times New Roman" w:hAnsi="Times New Roman" w:cs="Times New Roman"/>
          <w:i/>
          <w:iCs/>
          <w:color w:val="5B9BD5" w:themeColor="accent5"/>
          <w:sz w:val="20"/>
          <w:szCs w:val="20"/>
          <w:lang w:val="en-GB"/>
        </w:rPr>
        <w:t>balanced</w:t>
      </w:r>
      <w:r w:rsidRPr="00363DD8">
        <w:rPr>
          <w:rFonts w:ascii="Times New Roman" w:hAnsi="Times New Roman" w:cs="Times New Roman"/>
          <w:i/>
          <w:iCs/>
          <w:color w:val="5B9BD5" w:themeColor="accent5"/>
          <w:sz w:val="20"/>
          <w:szCs w:val="20"/>
          <w:lang w:val="en-GB"/>
        </w:rPr>
        <w:t xml:space="preserve"> in terms of points of view represented, the committee's function and diverse geographic areas to the extent possible. Members cannot be represented by alternates or substitutes.</w:t>
      </w:r>
      <w:r w:rsidRPr="00363DD8" w:rsidR="00A912A8">
        <w:rPr>
          <w:rFonts w:ascii="Times New Roman" w:hAnsi="Times New Roman" w:cs="Times New Roman"/>
          <w:i/>
          <w:iCs/>
          <w:color w:val="5B9BD5" w:themeColor="accent5"/>
          <w:sz w:val="20"/>
          <w:szCs w:val="20"/>
          <w:lang w:val="en-GB"/>
        </w:rPr>
        <w:t>&gt;</w:t>
      </w:r>
    </w:p>
    <w:p w:rsidRPr="00363DD8" w:rsidR="00DC01E8" w:rsidP="006F5118" w:rsidRDefault="00E7783D" w14:paraId="19C637DE" w14:textId="744A915E">
      <w:pPr>
        <w:spacing w:before="100" w:beforeAutospacing="1" w:after="100" w:afterAutospacing="1"/>
        <w:jc w:val="both"/>
        <w:rPr>
          <w:rFonts w:ascii="Times New Roman" w:hAnsi="Times New Roman" w:eastAsia="Times New Roman" w:cs="Times New Roman"/>
          <w:lang w:val="en-GB" w:eastAsia="en-GB"/>
        </w:rPr>
      </w:pPr>
      <w:r w:rsidRPr="00363DD8">
        <w:rPr>
          <w:rFonts w:ascii="Times New Roman" w:hAnsi="Times New Roman" w:eastAsia="Times New Roman" w:cs="Times New Roman"/>
          <w:lang w:val="en-GB" w:eastAsia="en-GB"/>
        </w:rPr>
        <w:t xml:space="preserve">&lt;Define the membership terms and process for </w:t>
      </w:r>
      <w:r w:rsidRPr="00363DD8" w:rsidR="006F5118">
        <w:rPr>
          <w:rFonts w:ascii="Times New Roman" w:hAnsi="Times New Roman" w:eastAsia="Times New Roman" w:cs="Times New Roman"/>
          <w:lang w:val="en-GB" w:eastAsia="en-GB"/>
        </w:rPr>
        <w:t>selection/</w:t>
      </w:r>
      <w:r w:rsidRPr="00363DD8">
        <w:rPr>
          <w:rFonts w:ascii="Times New Roman" w:hAnsi="Times New Roman" w:eastAsia="Times New Roman" w:cs="Times New Roman"/>
          <w:lang w:val="en-GB" w:eastAsia="en-GB"/>
        </w:rPr>
        <w:t>nomination, rotation, voting and termination</w:t>
      </w:r>
      <w:r w:rsidRPr="00363DD8" w:rsidR="00C54F77">
        <w:rPr>
          <w:rFonts w:ascii="Times New Roman" w:hAnsi="Times New Roman" w:eastAsia="Times New Roman" w:cs="Times New Roman"/>
          <w:lang w:val="en-GB" w:eastAsia="en-GB"/>
        </w:rPr>
        <w:t xml:space="preserve"> in your NITAG</w:t>
      </w:r>
      <w:r w:rsidRPr="00363DD8" w:rsidR="00A21466">
        <w:rPr>
          <w:rFonts w:ascii="Times New Roman" w:hAnsi="Times New Roman" w:eastAsia="Times New Roman" w:cs="Times New Roman"/>
          <w:lang w:val="en-GB" w:eastAsia="en-GB"/>
        </w:rPr>
        <w:t>. Include similar membership terms for Work Groups if anticipated</w:t>
      </w:r>
      <w:r w:rsidRPr="00363DD8" w:rsidR="006F5118">
        <w:rPr>
          <w:rFonts w:ascii="Times New Roman" w:hAnsi="Times New Roman" w:eastAsia="Times New Roman" w:cs="Times New Roman"/>
          <w:lang w:val="en-GB" w:eastAsia="en-GB"/>
        </w:rPr>
        <w:t>&gt;</w:t>
      </w:r>
    </w:p>
    <w:p w:rsidR="00994508" w:rsidP="002E6068" w:rsidRDefault="00A912A8" w14:paraId="690B8C40" w14:textId="0DFFB303">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&lt;</w:t>
      </w:r>
      <w:r w:rsidRPr="00363DD8" w:rsidR="00E7783D">
        <w:rPr>
          <w:rFonts w:ascii="Times New Roman" w:hAnsi="Times New Roman" w:cs="Times New Roman"/>
          <w:i/>
          <w:iCs/>
          <w:color w:val="5B9BD5" w:themeColor="accent5"/>
          <w:sz w:val="20"/>
          <w:szCs w:val="20"/>
          <w:lang w:val="en-GB"/>
        </w:rPr>
        <w:t xml:space="preserve">Selection/Nomination: </w:t>
      </w:r>
      <w:r w:rsidRPr="00363DD8" w:rsidR="00994508">
        <w:rPr>
          <w:rFonts w:ascii="Times New Roman" w:hAnsi="Times New Roman" w:cs="Times New Roman"/>
          <w:i/>
          <w:iCs/>
          <w:color w:val="5B9BD5" w:themeColor="accent5"/>
          <w:sz w:val="20"/>
          <w:szCs w:val="20"/>
          <w:lang w:val="en-GB"/>
        </w:rPr>
        <w:t>Selection</w:t>
      </w:r>
      <w:r w:rsidRPr="00363DD8" w:rsidR="00CD3F05">
        <w:rPr>
          <w:rFonts w:ascii="Times New Roman" w:hAnsi="Times New Roman" w:cs="Times New Roman"/>
          <w:i/>
          <w:iCs/>
          <w:color w:val="5B9BD5" w:themeColor="accent5"/>
          <w:sz w:val="20"/>
          <w:szCs w:val="20"/>
          <w:lang w:val="en-GB"/>
        </w:rPr>
        <w:t>, nomination and appointment</w:t>
      </w:r>
      <w:r w:rsidRPr="00363DD8" w:rsidR="00994508">
        <w:rPr>
          <w:rFonts w:ascii="Times New Roman" w:hAnsi="Times New Roman" w:cs="Times New Roman"/>
          <w:i/>
          <w:iCs/>
          <w:color w:val="5B9BD5" w:themeColor="accent5"/>
          <w:sz w:val="20"/>
          <w:szCs w:val="20"/>
          <w:lang w:val="en-GB"/>
        </w:rPr>
        <w:t xml:space="preserve"> of </w:t>
      </w:r>
      <w:r w:rsidRPr="00363DD8" w:rsidR="00DC01E8">
        <w:rPr>
          <w:rFonts w:ascii="Times New Roman" w:hAnsi="Times New Roman" w:cs="Times New Roman"/>
          <w:i/>
          <w:iCs/>
          <w:color w:val="5B9BD5" w:themeColor="accent5"/>
          <w:sz w:val="20"/>
          <w:szCs w:val="20"/>
          <w:lang w:val="en-GB"/>
        </w:rPr>
        <w:t xml:space="preserve">core </w:t>
      </w:r>
      <w:r w:rsidRPr="00363DD8" w:rsidR="00994508">
        <w:rPr>
          <w:rFonts w:ascii="Times New Roman" w:hAnsi="Times New Roman" w:cs="Times New Roman"/>
          <w:i/>
          <w:iCs/>
          <w:color w:val="5B9BD5" w:themeColor="accent5"/>
          <w:sz w:val="20"/>
          <w:szCs w:val="20"/>
          <w:lang w:val="en-GB"/>
        </w:rPr>
        <w:t>voting members</w:t>
      </w:r>
      <w:r w:rsidRPr="00363DD8" w:rsidR="00DC01E8">
        <w:rPr>
          <w:rFonts w:ascii="Times New Roman" w:hAnsi="Times New Roman" w:cs="Times New Roman"/>
          <w:i/>
          <w:iCs/>
          <w:color w:val="5B9BD5" w:themeColor="accent5"/>
          <w:sz w:val="20"/>
          <w:szCs w:val="20"/>
          <w:lang w:val="en-GB"/>
        </w:rPr>
        <w:t xml:space="preserve"> s</w:t>
      </w:r>
      <w:r w:rsidRPr="00363DD8" w:rsidR="00994508">
        <w:rPr>
          <w:rFonts w:ascii="Times New Roman" w:hAnsi="Times New Roman" w:cs="Times New Roman"/>
          <w:i/>
          <w:iCs/>
          <w:color w:val="5B9BD5" w:themeColor="accent5"/>
          <w:sz w:val="20"/>
          <w:szCs w:val="20"/>
          <w:lang w:val="en-GB"/>
        </w:rPr>
        <w:t xml:space="preserve">hould be </w:t>
      </w:r>
      <w:r w:rsidR="00CD3F05">
        <w:rPr>
          <w:rFonts w:ascii="Times New Roman" w:hAnsi="Times New Roman" w:cs="Times New Roman"/>
          <w:i/>
          <w:iCs/>
          <w:color w:val="5B9BD5" w:themeColor="accent5"/>
          <w:sz w:val="20"/>
          <w:szCs w:val="20"/>
          <w:lang w:val="en-GB"/>
        </w:rPr>
        <w:t>done</w:t>
      </w:r>
      <w:r w:rsidRPr="00363DD8" w:rsidR="00994508">
        <w:rPr>
          <w:rFonts w:ascii="Times New Roman" w:hAnsi="Times New Roman" w:cs="Times New Roman"/>
          <w:i/>
          <w:iCs/>
          <w:color w:val="5B9BD5" w:themeColor="accent5"/>
          <w:sz w:val="20"/>
          <w:szCs w:val="20"/>
          <w:lang w:val="en-GB"/>
        </w:rPr>
        <w:t xml:space="preserve"> by senior government officials through a well-defined transparent process</w:t>
      </w:r>
      <w:r w:rsidR="00CD3F05">
        <w:rPr>
          <w:rFonts w:ascii="Times New Roman" w:hAnsi="Times New Roman" w:cs="Times New Roman"/>
          <w:i/>
          <w:iCs/>
          <w:color w:val="5B9BD5" w:themeColor="accent5"/>
          <w:sz w:val="20"/>
          <w:szCs w:val="20"/>
          <w:lang w:val="en-GB"/>
        </w:rPr>
        <w:t xml:space="preserve"> executed after a wide-open call.</w:t>
      </w:r>
    </w:p>
    <w:p w:rsidR="00EF534E" w:rsidP="002E6068" w:rsidRDefault="00EF534E" w14:paraId="238E02F6" w14:textId="1A146080">
      <w:pPr>
        <w:jc w:val="both"/>
        <w:rPr>
          <w:rFonts w:ascii="Times New Roman" w:hAnsi="Times New Roman" w:cs="Times New Roman"/>
          <w:i/>
          <w:iCs/>
          <w:color w:val="5B9BD5" w:themeColor="accent5"/>
          <w:sz w:val="20"/>
          <w:szCs w:val="20"/>
          <w:lang w:val="en-GB"/>
        </w:rPr>
      </w:pPr>
    </w:p>
    <w:p w:rsidRPr="00363DD8" w:rsidR="00EF534E" w:rsidP="002E6068" w:rsidRDefault="00EF534E" w14:paraId="1AC6CCC5" w14:textId="7233176B">
      <w:pPr>
        <w:jc w:val="both"/>
        <w:rPr>
          <w:rFonts w:ascii="Times New Roman" w:hAnsi="Times New Roman" w:cs="Times New Roman"/>
          <w:i/>
          <w:iCs/>
          <w:color w:val="5B9BD5" w:themeColor="accent5"/>
          <w:sz w:val="20"/>
          <w:szCs w:val="20"/>
          <w:lang w:val="en-GB"/>
        </w:rPr>
      </w:pPr>
      <w:r>
        <w:rPr>
          <w:rFonts w:ascii="Times New Roman" w:hAnsi="Times New Roman" w:cs="Times New Roman"/>
          <w:i/>
          <w:iCs/>
          <w:color w:val="5B9BD5" w:themeColor="accent5"/>
          <w:sz w:val="20"/>
          <w:szCs w:val="20"/>
          <w:lang w:val="en-GB"/>
        </w:rPr>
        <w:t xml:space="preserve">Chair </w:t>
      </w:r>
      <w:r w:rsidR="006A586C">
        <w:rPr>
          <w:rFonts w:ascii="Times New Roman" w:hAnsi="Times New Roman" w:cs="Times New Roman"/>
          <w:i/>
          <w:iCs/>
          <w:color w:val="5B9BD5" w:themeColor="accent5"/>
          <w:sz w:val="20"/>
          <w:szCs w:val="20"/>
          <w:lang w:val="en-GB"/>
        </w:rPr>
        <w:t>appointment</w:t>
      </w:r>
      <w:r>
        <w:rPr>
          <w:rFonts w:ascii="Times New Roman" w:hAnsi="Times New Roman" w:cs="Times New Roman"/>
          <w:i/>
          <w:iCs/>
          <w:color w:val="5B9BD5" w:themeColor="accent5"/>
          <w:sz w:val="20"/>
          <w:szCs w:val="20"/>
          <w:lang w:val="en-GB"/>
        </w:rPr>
        <w:t>: The</w:t>
      </w:r>
      <w:r w:rsidR="00F9778D">
        <w:rPr>
          <w:rFonts w:ascii="Times New Roman" w:hAnsi="Times New Roman" w:cs="Times New Roman"/>
          <w:i/>
          <w:iCs/>
          <w:color w:val="5B9BD5" w:themeColor="accent5"/>
          <w:sz w:val="20"/>
          <w:szCs w:val="20"/>
          <w:lang w:val="en-GB"/>
        </w:rPr>
        <w:t xml:space="preserve"> NITAG</w:t>
      </w:r>
      <w:r>
        <w:rPr>
          <w:rFonts w:ascii="Times New Roman" w:hAnsi="Times New Roman" w:cs="Times New Roman"/>
          <w:i/>
          <w:iCs/>
          <w:color w:val="5B9BD5" w:themeColor="accent5"/>
          <w:sz w:val="20"/>
          <w:szCs w:val="20"/>
          <w:lang w:val="en-GB"/>
        </w:rPr>
        <w:t xml:space="preserve"> Chair </w:t>
      </w:r>
      <w:r w:rsidR="00F9778D">
        <w:rPr>
          <w:rFonts w:ascii="Times New Roman" w:hAnsi="Times New Roman" w:cs="Times New Roman"/>
          <w:i/>
          <w:iCs/>
          <w:color w:val="5B9BD5" w:themeColor="accent5"/>
          <w:sz w:val="20"/>
          <w:szCs w:val="20"/>
          <w:lang w:val="en-GB"/>
        </w:rPr>
        <w:t>should</w:t>
      </w:r>
      <w:r>
        <w:rPr>
          <w:rFonts w:ascii="Times New Roman" w:hAnsi="Times New Roman" w:cs="Times New Roman"/>
          <w:i/>
          <w:iCs/>
          <w:color w:val="5B9BD5" w:themeColor="accent5"/>
          <w:sz w:val="20"/>
          <w:szCs w:val="20"/>
          <w:lang w:val="en-GB"/>
        </w:rPr>
        <w:t xml:space="preserve"> be appointed for one period </w:t>
      </w:r>
      <w:r w:rsidRPr="00EF534E">
        <w:rPr>
          <w:rFonts w:ascii="Times New Roman" w:hAnsi="Times New Roman" w:cs="Times New Roman"/>
          <w:i/>
          <w:iCs/>
          <w:color w:val="5B9BD5" w:themeColor="accent5"/>
          <w:sz w:val="20"/>
          <w:szCs w:val="20"/>
          <w:lang w:val="en-GB"/>
        </w:rPr>
        <w:t xml:space="preserve">with the potential of </w:t>
      </w:r>
      <w:r>
        <w:rPr>
          <w:rFonts w:ascii="Times New Roman" w:hAnsi="Times New Roman" w:cs="Times New Roman"/>
          <w:i/>
          <w:iCs/>
          <w:color w:val="5B9BD5" w:themeColor="accent5"/>
          <w:sz w:val="20"/>
          <w:szCs w:val="20"/>
          <w:lang w:val="en-GB"/>
        </w:rPr>
        <w:t xml:space="preserve">an </w:t>
      </w:r>
      <w:r w:rsidRPr="00EF534E">
        <w:rPr>
          <w:rFonts w:ascii="Times New Roman" w:hAnsi="Times New Roman" w:cs="Times New Roman"/>
          <w:i/>
          <w:iCs/>
          <w:color w:val="5B9BD5" w:themeColor="accent5"/>
          <w:sz w:val="20"/>
          <w:szCs w:val="20"/>
          <w:lang w:val="en-GB"/>
        </w:rPr>
        <w:t>extension</w:t>
      </w:r>
      <w:r>
        <w:rPr>
          <w:rFonts w:ascii="Times New Roman" w:hAnsi="Times New Roman" w:cs="Times New Roman"/>
          <w:i/>
          <w:iCs/>
          <w:color w:val="5B9BD5" w:themeColor="accent5"/>
          <w:sz w:val="20"/>
          <w:szCs w:val="20"/>
          <w:lang w:val="en-GB"/>
        </w:rPr>
        <w:t>, especially to preserve continuation of NITAG duties during periods transitions</w:t>
      </w:r>
      <w:r w:rsidRPr="00EF534E">
        <w:rPr>
          <w:rFonts w:ascii="Times New Roman" w:hAnsi="Times New Roman" w:cs="Times New Roman"/>
          <w:i/>
          <w:iCs/>
          <w:color w:val="5B9BD5" w:themeColor="accent5"/>
          <w:sz w:val="20"/>
          <w:szCs w:val="20"/>
          <w:lang w:val="en-GB"/>
        </w:rPr>
        <w:t>. Selection will be based on a demonstrated ability to lead and work effectively with members</w:t>
      </w:r>
      <w:r w:rsidR="00A071AB">
        <w:rPr>
          <w:rFonts w:ascii="Times New Roman" w:hAnsi="Times New Roman" w:cs="Times New Roman"/>
          <w:i/>
          <w:iCs/>
          <w:color w:val="5B9BD5" w:themeColor="accent5"/>
          <w:sz w:val="20"/>
          <w:szCs w:val="20"/>
          <w:lang w:val="en-GB"/>
        </w:rPr>
        <w:t>.</w:t>
      </w:r>
    </w:p>
    <w:p w:rsidRPr="00363DD8" w:rsidR="00DC01E8" w:rsidP="002E6068" w:rsidRDefault="00DC01E8" w14:paraId="69FB32B1" w14:textId="77777777">
      <w:pPr>
        <w:jc w:val="both"/>
        <w:rPr>
          <w:rFonts w:ascii="Times New Roman" w:hAnsi="Times New Roman" w:cs="Times New Roman"/>
          <w:i/>
          <w:iCs/>
          <w:color w:val="5B9BD5" w:themeColor="accent5"/>
          <w:sz w:val="20"/>
          <w:szCs w:val="20"/>
          <w:lang w:val="en-GB"/>
        </w:rPr>
      </w:pPr>
    </w:p>
    <w:p w:rsidRPr="00363DD8" w:rsidR="00994508" w:rsidP="2DB0A83D" w:rsidRDefault="00994508" w14:paraId="5602E2CC" w14:textId="7ECD095C">
      <w:pPr>
        <w:jc w:val="both"/>
        <w:rPr>
          <w:rFonts w:ascii="Times New Roman" w:hAnsi="Times New Roman" w:cs="Times New Roman"/>
          <w:i w:val="1"/>
          <w:iCs w:val="1"/>
          <w:color w:val="5B9BD5" w:themeColor="accent5"/>
          <w:sz w:val="20"/>
          <w:szCs w:val="20"/>
          <w:lang w:val="en-GB"/>
        </w:rPr>
      </w:pPr>
      <w:r w:rsidRPr="2DB0A83D" w:rsidR="00994508">
        <w:rPr>
          <w:rFonts w:ascii="Times New Roman" w:hAnsi="Times New Roman" w:cs="Times New Roman"/>
          <w:i w:val="1"/>
          <w:iCs w:val="1"/>
          <w:color w:val="5B9BD5" w:themeColor="accent5" w:themeTint="FF" w:themeShade="FF"/>
          <w:sz w:val="20"/>
          <w:szCs w:val="20"/>
          <w:lang w:val="en-GB"/>
        </w:rPr>
        <w:t>Rotation</w:t>
      </w:r>
      <w:r w:rsidRPr="2DB0A83D" w:rsidR="00E7783D">
        <w:rPr>
          <w:rFonts w:ascii="Times New Roman" w:hAnsi="Times New Roman" w:cs="Times New Roman"/>
          <w:i w:val="1"/>
          <w:iCs w:val="1"/>
          <w:color w:val="5B9BD5" w:themeColor="accent5" w:themeTint="FF" w:themeShade="FF"/>
          <w:sz w:val="20"/>
          <w:szCs w:val="20"/>
          <w:lang w:val="en-GB"/>
        </w:rPr>
        <w:t>: Rotation</w:t>
      </w:r>
      <w:r w:rsidRPr="2DB0A83D" w:rsidR="00994508">
        <w:rPr>
          <w:rFonts w:ascii="Times New Roman" w:hAnsi="Times New Roman" w:cs="Times New Roman"/>
          <w:i w:val="1"/>
          <w:iCs w:val="1"/>
          <w:color w:val="5B9BD5" w:themeColor="accent5" w:themeTint="FF" w:themeShade="FF"/>
          <w:sz w:val="20"/>
          <w:szCs w:val="20"/>
          <w:lang w:val="en-GB"/>
        </w:rPr>
        <w:t xml:space="preserve"> of membership</w:t>
      </w:r>
      <w:r w:rsidRPr="2DB0A83D" w:rsidR="00DC01E8">
        <w:rPr>
          <w:rFonts w:ascii="Times New Roman" w:hAnsi="Times New Roman" w:cs="Times New Roman"/>
          <w:i w:val="1"/>
          <w:iCs w:val="1"/>
          <w:color w:val="5B9BD5" w:themeColor="accent5" w:themeTint="FF" w:themeShade="FF"/>
          <w:sz w:val="20"/>
          <w:szCs w:val="20"/>
          <w:lang w:val="en-GB"/>
        </w:rPr>
        <w:t xml:space="preserve"> is recommended as a l</w:t>
      </w:r>
      <w:r w:rsidRPr="2DB0A83D" w:rsidR="00994508">
        <w:rPr>
          <w:rFonts w:ascii="Times New Roman" w:hAnsi="Times New Roman" w:cs="Times New Roman"/>
          <w:i w:val="1"/>
          <w:iCs w:val="1"/>
          <w:color w:val="5B9BD5" w:themeColor="accent5" w:themeTint="FF" w:themeShade="FF"/>
          <w:sz w:val="20"/>
          <w:szCs w:val="20"/>
          <w:lang w:val="en-GB"/>
        </w:rPr>
        <w:t>imited duration of service for the core members (5-6 years</w:t>
      </w:r>
      <w:r w:rsidRPr="2DB0A83D" w:rsidR="00994508">
        <w:rPr>
          <w:rFonts w:ascii="Times New Roman" w:hAnsi="Times New Roman" w:cs="Times New Roman"/>
          <w:i w:val="1"/>
          <w:iCs w:val="1"/>
          <w:color w:val="5B9BD5" w:themeColor="accent5" w:themeTint="FF" w:themeShade="FF"/>
          <w:sz w:val="20"/>
          <w:szCs w:val="20"/>
          <w:lang w:val="en-GB"/>
        </w:rPr>
        <w:t>)</w:t>
      </w:r>
      <w:r w:rsidRPr="2DB0A83D" w:rsidR="00A60530">
        <w:rPr>
          <w:rFonts w:ascii="Times New Roman" w:hAnsi="Times New Roman" w:cs="Times New Roman"/>
          <w:i w:val="1"/>
          <w:iCs w:val="1"/>
          <w:color w:val="5B9BD5" w:themeColor="accent5" w:themeTint="FF" w:themeShade="FF"/>
          <w:sz w:val="20"/>
          <w:szCs w:val="20"/>
          <w:lang w:val="en-GB"/>
        </w:rPr>
        <w:t>. S</w:t>
      </w:r>
      <w:r w:rsidRPr="2DB0A83D" w:rsidR="00994508">
        <w:rPr>
          <w:rFonts w:ascii="Times New Roman" w:hAnsi="Times New Roman" w:cs="Times New Roman"/>
          <w:i w:val="1"/>
          <w:iCs w:val="1"/>
          <w:color w:val="5B9BD5" w:themeColor="accent5" w:themeTint="FF" w:themeShade="FF"/>
          <w:sz w:val="20"/>
          <w:szCs w:val="20"/>
          <w:lang w:val="en-GB"/>
        </w:rPr>
        <w:t xml:space="preserve">taggering of members to provide continuity </w:t>
      </w:r>
      <w:r w:rsidRPr="2DB0A83D" w:rsidR="00DC01E8">
        <w:rPr>
          <w:rFonts w:ascii="Times New Roman" w:hAnsi="Times New Roman" w:cs="Times New Roman"/>
          <w:i w:val="1"/>
          <w:iCs w:val="1"/>
          <w:color w:val="5B9BD5" w:themeColor="accent5" w:themeTint="FF" w:themeShade="FF"/>
          <w:sz w:val="20"/>
          <w:szCs w:val="20"/>
          <w:lang w:val="en-GB"/>
        </w:rPr>
        <w:t>can</w:t>
      </w:r>
      <w:r w:rsidRPr="2DB0A83D" w:rsidR="00994508">
        <w:rPr>
          <w:rFonts w:ascii="Times New Roman" w:hAnsi="Times New Roman" w:cs="Times New Roman"/>
          <w:i w:val="1"/>
          <w:iCs w:val="1"/>
          <w:color w:val="5B9BD5" w:themeColor="accent5" w:themeTint="FF" w:themeShade="FF"/>
          <w:sz w:val="20"/>
          <w:szCs w:val="20"/>
          <w:lang w:val="en-GB"/>
        </w:rPr>
        <w:t xml:space="preserve"> ensure the terms of all members do not expire at the same time and can help with orientation of new members.</w:t>
      </w:r>
      <w:r w:rsidRPr="2DB0A83D" w:rsidR="00E7783D">
        <w:rPr>
          <w:rFonts w:ascii="Times New Roman" w:hAnsi="Times New Roman" w:cs="Times New Roman"/>
          <w:i w:val="1"/>
          <w:iCs w:val="1"/>
          <w:color w:val="5B9BD5" w:themeColor="accent5" w:themeTint="FF" w:themeShade="FF"/>
          <w:sz w:val="20"/>
          <w:szCs w:val="20"/>
          <w:lang w:val="en-GB"/>
        </w:rPr>
        <w:t xml:space="preserve"> </w:t>
      </w:r>
      <w:r w:rsidRPr="2DB0A83D" w:rsidR="00994508">
        <w:rPr>
          <w:rFonts w:ascii="Times New Roman" w:hAnsi="Times New Roman" w:cs="Times New Roman"/>
          <w:i w:val="1"/>
          <w:iCs w:val="1"/>
          <w:color w:val="5B9BD5" w:themeColor="accent5" w:themeTint="FF" w:themeShade="FF"/>
          <w:sz w:val="20"/>
          <w:szCs w:val="20"/>
          <w:lang w:val="en-GB"/>
        </w:rPr>
        <w:t>Small countries with limited number of experts at the national level may choose not to rotate NITAG members.</w:t>
      </w:r>
      <w:r w:rsidRPr="2DB0A83D" w:rsidR="007B33B6">
        <w:rPr>
          <w:rFonts w:ascii="Times New Roman" w:hAnsi="Times New Roman" w:cs="Times New Roman"/>
          <w:i w:val="1"/>
          <w:iCs w:val="1"/>
          <w:color w:val="5B9BD5" w:themeColor="accent5" w:themeTint="FF" w:themeShade="FF"/>
          <w:sz w:val="20"/>
          <w:szCs w:val="20"/>
          <w:lang w:val="en-GB"/>
        </w:rPr>
        <w:t xml:space="preserve"> </w:t>
      </w:r>
      <w:r w:rsidRPr="2DB0A83D" w:rsidR="007B33B6">
        <w:rPr>
          <w:rFonts w:ascii="Times New Roman" w:hAnsi="Times New Roman" w:cs="Times New Roman"/>
          <w:i w:val="1"/>
          <w:iCs w:val="1"/>
          <w:color w:val="5B9BD5" w:themeColor="accent5" w:themeTint="FF" w:themeShade="FF"/>
          <w:sz w:val="20"/>
          <w:szCs w:val="20"/>
          <w:lang w:val="en-GB"/>
        </w:rPr>
        <w:t>For members completing their final term, an additional extension may be considered upon agreement between</w:t>
      </w:r>
      <w:r w:rsidRPr="2DB0A83D" w:rsidR="007B33B6">
        <w:rPr>
          <w:rFonts w:ascii="Times New Roman" w:hAnsi="Times New Roman" w:cs="Times New Roman"/>
          <w:i w:val="1"/>
          <w:iCs w:val="1"/>
          <w:color w:val="5B9BD5" w:themeColor="accent5" w:themeTint="FF" w:themeShade="FF"/>
          <w:sz w:val="20"/>
          <w:szCs w:val="20"/>
          <w:lang w:val="en-GB"/>
        </w:rPr>
        <w:t xml:space="preserve"> the</w:t>
      </w:r>
      <w:r w:rsidRPr="2DB0A83D" w:rsidR="007B33B6">
        <w:rPr>
          <w:rFonts w:ascii="Times New Roman" w:hAnsi="Times New Roman" w:cs="Times New Roman"/>
          <w:i w:val="1"/>
          <w:iCs w:val="1"/>
          <w:color w:val="5B9BD5" w:themeColor="accent5" w:themeTint="FF" w:themeShade="FF"/>
          <w:sz w:val="20"/>
          <w:szCs w:val="20"/>
          <w:lang w:val="en-GB"/>
        </w:rPr>
        <w:t xml:space="preserve"> chair</w:t>
      </w:r>
      <w:r w:rsidRPr="2DB0A83D" w:rsidR="007B33B6">
        <w:rPr>
          <w:rFonts w:ascii="Times New Roman" w:hAnsi="Times New Roman" w:cs="Times New Roman"/>
          <w:i w:val="1"/>
          <w:iCs w:val="1"/>
          <w:color w:val="5B9BD5" w:themeColor="accent5" w:themeTint="FF" w:themeShade="FF"/>
          <w:sz w:val="20"/>
          <w:szCs w:val="20"/>
          <w:lang w:val="en-GB"/>
        </w:rPr>
        <w:t>person and the Secretariat</w:t>
      </w:r>
      <w:r w:rsidRPr="2DB0A83D" w:rsidR="007B33B6">
        <w:rPr>
          <w:rFonts w:ascii="Times New Roman" w:hAnsi="Times New Roman" w:cs="Times New Roman"/>
          <w:i w:val="1"/>
          <w:iCs w:val="1"/>
          <w:color w:val="5B9BD5" w:themeColor="accent5" w:themeTint="FF" w:themeShade="FF"/>
          <w:sz w:val="20"/>
          <w:szCs w:val="20"/>
          <w:lang w:val="en-GB"/>
        </w:rPr>
        <w:t xml:space="preserve"> to complete projects for which they are the lead</w:t>
      </w:r>
      <w:r w:rsidRPr="2DB0A83D" w:rsidR="007B33B6">
        <w:rPr>
          <w:rFonts w:ascii="Times New Roman" w:hAnsi="Times New Roman" w:cs="Times New Roman"/>
          <w:i w:val="1"/>
          <w:iCs w:val="1"/>
          <w:color w:val="5B9BD5" w:themeColor="accent5" w:themeTint="FF" w:themeShade="FF"/>
          <w:sz w:val="20"/>
          <w:szCs w:val="20"/>
          <w:lang w:val="en-GB"/>
        </w:rPr>
        <w:t>.</w:t>
      </w:r>
    </w:p>
    <w:p w:rsidRPr="00363DD8" w:rsidR="00DC01E8" w:rsidP="002E6068" w:rsidRDefault="00DC01E8" w14:paraId="02DEB1C4" w14:textId="77777777">
      <w:pPr>
        <w:jc w:val="both"/>
        <w:rPr>
          <w:rFonts w:ascii="Times New Roman" w:hAnsi="Times New Roman" w:cs="Times New Roman"/>
          <w:i/>
          <w:iCs/>
          <w:color w:val="5B9BD5" w:themeColor="accent5"/>
          <w:sz w:val="20"/>
          <w:szCs w:val="20"/>
          <w:lang w:val="en-GB"/>
        </w:rPr>
      </w:pPr>
    </w:p>
    <w:p w:rsidRPr="00363DD8" w:rsidR="00994508" w:rsidP="002E6068" w:rsidRDefault="00994508" w14:paraId="378313E9" w14:textId="4951601D">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Voting</w:t>
      </w:r>
      <w:r w:rsidRPr="00363DD8" w:rsidR="00DC01E8">
        <w:rPr>
          <w:rFonts w:ascii="Times New Roman" w:hAnsi="Times New Roman" w:cs="Times New Roman"/>
          <w:i/>
          <w:iCs/>
          <w:color w:val="5B9BD5" w:themeColor="accent5"/>
          <w:sz w:val="20"/>
          <w:szCs w:val="20"/>
          <w:lang w:val="en-GB"/>
        </w:rPr>
        <w:t>:</w:t>
      </w:r>
      <w:r w:rsidRPr="00363DD8" w:rsidR="00E7783D">
        <w:rPr>
          <w:rFonts w:ascii="Times New Roman" w:hAnsi="Times New Roman" w:cs="Times New Roman"/>
          <w:i/>
          <w:iCs/>
          <w:color w:val="5B9BD5" w:themeColor="accent5"/>
          <w:sz w:val="20"/>
          <w:szCs w:val="20"/>
          <w:lang w:val="en-GB"/>
        </w:rPr>
        <w:t xml:space="preserve"> </w:t>
      </w:r>
      <w:r w:rsidRPr="00363DD8">
        <w:rPr>
          <w:rFonts w:ascii="Times New Roman" w:hAnsi="Times New Roman" w:cs="Times New Roman"/>
          <w:i/>
          <w:iCs/>
          <w:color w:val="5B9BD5" w:themeColor="accent5"/>
          <w:sz w:val="20"/>
          <w:szCs w:val="20"/>
          <w:lang w:val="en-GB"/>
        </w:rPr>
        <w:t xml:space="preserve">Only core members have the power to vote NITAG’s </w:t>
      </w:r>
      <w:r w:rsidR="00E96DA2">
        <w:rPr>
          <w:rFonts w:ascii="Times New Roman" w:hAnsi="Times New Roman" w:cs="Times New Roman"/>
          <w:i/>
          <w:iCs/>
          <w:color w:val="5B9BD5" w:themeColor="accent5"/>
          <w:sz w:val="20"/>
          <w:szCs w:val="20"/>
          <w:lang w:val="en-GB"/>
        </w:rPr>
        <w:t>recommendati</w:t>
      </w:r>
      <w:r w:rsidRPr="00363DD8" w:rsidR="00E96DA2">
        <w:rPr>
          <w:rFonts w:ascii="Times New Roman" w:hAnsi="Times New Roman" w:cs="Times New Roman"/>
          <w:i/>
          <w:iCs/>
          <w:color w:val="5B9BD5" w:themeColor="accent5"/>
          <w:sz w:val="20"/>
          <w:szCs w:val="20"/>
          <w:lang w:val="en-GB"/>
        </w:rPr>
        <w:t>ons</w:t>
      </w:r>
      <w:r w:rsidRPr="00363DD8">
        <w:rPr>
          <w:rFonts w:ascii="Times New Roman" w:hAnsi="Times New Roman" w:cs="Times New Roman"/>
          <w:i/>
          <w:iCs/>
          <w:color w:val="5B9BD5" w:themeColor="accent5"/>
          <w:sz w:val="20"/>
          <w:szCs w:val="20"/>
          <w:lang w:val="en-GB"/>
        </w:rPr>
        <w:t>. Members of the secretariat, ex-officio members, liaison members, invited experts can contribute to discussions but cannot vote</w:t>
      </w:r>
      <w:r w:rsidR="00390DB1">
        <w:rPr>
          <w:rFonts w:ascii="Times New Roman" w:hAnsi="Times New Roman" w:cs="Times New Roman"/>
          <w:i/>
          <w:iCs/>
          <w:color w:val="5B9BD5" w:themeColor="accent5"/>
          <w:sz w:val="20"/>
          <w:szCs w:val="20"/>
          <w:lang w:val="en-GB"/>
        </w:rPr>
        <w:t xml:space="preserve"> on</w:t>
      </w:r>
      <w:r w:rsidR="00E96DA2">
        <w:rPr>
          <w:rFonts w:ascii="Times New Roman" w:hAnsi="Times New Roman" w:cs="Times New Roman"/>
          <w:i/>
          <w:iCs/>
          <w:color w:val="5B9BD5" w:themeColor="accent5"/>
          <w:sz w:val="20"/>
          <w:szCs w:val="20"/>
          <w:lang w:val="en-GB"/>
        </w:rPr>
        <w:t xml:space="preserve"> recommendations</w:t>
      </w:r>
      <w:r w:rsidRPr="00363DD8">
        <w:rPr>
          <w:rFonts w:ascii="Times New Roman" w:hAnsi="Times New Roman" w:cs="Times New Roman"/>
          <w:i/>
          <w:iCs/>
          <w:color w:val="5B9BD5" w:themeColor="accent5"/>
          <w:sz w:val="20"/>
          <w:szCs w:val="20"/>
          <w:lang w:val="en-GB"/>
        </w:rPr>
        <w:t>.</w:t>
      </w:r>
    </w:p>
    <w:p w:rsidRPr="00363DD8" w:rsidR="00DC01E8" w:rsidP="002E6068" w:rsidRDefault="00DC01E8" w14:paraId="39B82A6C" w14:textId="77777777">
      <w:pPr>
        <w:jc w:val="both"/>
        <w:rPr>
          <w:rFonts w:ascii="Times New Roman" w:hAnsi="Times New Roman" w:cs="Times New Roman"/>
          <w:i/>
          <w:iCs/>
          <w:color w:val="5B9BD5" w:themeColor="accent5"/>
          <w:sz w:val="20"/>
          <w:szCs w:val="20"/>
          <w:lang w:val="en-GB"/>
        </w:rPr>
      </w:pPr>
    </w:p>
    <w:p w:rsidR="00994508" w:rsidP="002E6068" w:rsidRDefault="00994508" w14:paraId="2363B2D4" w14:textId="4A6862D0">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Termination</w:t>
      </w:r>
      <w:r w:rsidRPr="00363DD8" w:rsidR="00DC01E8">
        <w:rPr>
          <w:rFonts w:ascii="Times New Roman" w:hAnsi="Times New Roman" w:cs="Times New Roman"/>
          <w:i/>
          <w:iCs/>
          <w:color w:val="5B9BD5" w:themeColor="accent5"/>
          <w:sz w:val="20"/>
          <w:szCs w:val="20"/>
          <w:lang w:val="en-GB"/>
        </w:rPr>
        <w:t xml:space="preserve">: </w:t>
      </w:r>
      <w:r w:rsidRPr="00363DD8" w:rsidR="00A60530">
        <w:rPr>
          <w:rFonts w:ascii="Times New Roman" w:hAnsi="Times New Roman" w:cs="Times New Roman"/>
          <w:i/>
          <w:iCs/>
          <w:color w:val="5B9BD5" w:themeColor="accent5"/>
          <w:sz w:val="20"/>
          <w:szCs w:val="20"/>
          <w:lang w:val="en-GB"/>
        </w:rPr>
        <w:t xml:space="preserve">The </w:t>
      </w:r>
      <w:r w:rsidRPr="00363DD8">
        <w:rPr>
          <w:rFonts w:ascii="Times New Roman" w:hAnsi="Times New Roman" w:cs="Times New Roman"/>
          <w:i/>
          <w:iCs/>
          <w:color w:val="5B9BD5" w:themeColor="accent5"/>
          <w:sz w:val="20"/>
          <w:szCs w:val="20"/>
          <w:lang w:val="en-GB"/>
        </w:rPr>
        <w:t>SOP must specify the termination process method and the authority who can initiate the process. Possible reasons for termination of membership include not attending a specified number of consecutive meetings, conflict of interest, breach of confidentiality</w:t>
      </w:r>
      <w:r w:rsidR="00E96DA2">
        <w:rPr>
          <w:rFonts w:ascii="Times New Roman" w:hAnsi="Times New Roman" w:cs="Times New Roman"/>
          <w:i/>
          <w:iCs/>
          <w:color w:val="5B9BD5" w:themeColor="accent5"/>
          <w:sz w:val="20"/>
          <w:szCs w:val="20"/>
          <w:lang w:val="en-GB"/>
        </w:rPr>
        <w:t xml:space="preserve">, </w:t>
      </w:r>
      <w:r w:rsidR="006A586C">
        <w:rPr>
          <w:rFonts w:ascii="Times New Roman" w:hAnsi="Times New Roman" w:cs="Times New Roman"/>
          <w:i/>
          <w:iCs/>
          <w:color w:val="5B9BD5" w:themeColor="accent5"/>
          <w:sz w:val="20"/>
          <w:szCs w:val="20"/>
          <w:lang w:val="en-GB"/>
        </w:rPr>
        <w:t>resignation</w:t>
      </w:r>
      <w:r w:rsidR="00E9216C">
        <w:rPr>
          <w:rFonts w:ascii="Times New Roman" w:hAnsi="Times New Roman" w:cs="Times New Roman"/>
          <w:i/>
          <w:iCs/>
          <w:color w:val="5B9BD5" w:themeColor="accent5"/>
          <w:sz w:val="20"/>
          <w:szCs w:val="20"/>
          <w:lang w:val="en-GB"/>
        </w:rPr>
        <w:t>,</w:t>
      </w:r>
      <w:r w:rsidRPr="00363DD8">
        <w:rPr>
          <w:rFonts w:ascii="Times New Roman" w:hAnsi="Times New Roman" w:cs="Times New Roman"/>
          <w:i/>
          <w:iCs/>
          <w:color w:val="5B9BD5" w:themeColor="accent5"/>
          <w:sz w:val="20"/>
          <w:szCs w:val="20"/>
          <w:lang w:val="en-GB"/>
        </w:rPr>
        <w:t xml:space="preserve"> etc.</w:t>
      </w:r>
      <w:r w:rsidR="007B33B6">
        <w:rPr>
          <w:rFonts w:ascii="Times New Roman" w:hAnsi="Times New Roman" w:cs="Times New Roman"/>
          <w:i/>
          <w:iCs/>
          <w:color w:val="5B9BD5" w:themeColor="accent5"/>
          <w:sz w:val="20"/>
          <w:szCs w:val="20"/>
          <w:lang w:val="en-GB"/>
        </w:rPr>
        <w:t xml:space="preserve"> </w:t>
      </w:r>
    </w:p>
    <w:p w:rsidR="006A586C" w:rsidP="002E6068" w:rsidRDefault="006A586C" w14:paraId="21A3B2E3" w14:textId="20126278">
      <w:pPr>
        <w:jc w:val="both"/>
        <w:rPr>
          <w:rFonts w:ascii="Times New Roman" w:hAnsi="Times New Roman" w:cs="Times New Roman"/>
          <w:i/>
          <w:iCs/>
          <w:color w:val="5B9BD5" w:themeColor="accent5"/>
          <w:sz w:val="20"/>
          <w:szCs w:val="20"/>
          <w:lang w:val="en-GB"/>
        </w:rPr>
      </w:pPr>
    </w:p>
    <w:p w:rsidRPr="00363DD8" w:rsidR="006A586C" w:rsidP="002E6068" w:rsidRDefault="006A586C" w14:paraId="7C584B50" w14:textId="357F7C2A">
      <w:pPr>
        <w:jc w:val="both"/>
        <w:rPr>
          <w:rFonts w:ascii="Times New Roman" w:hAnsi="Times New Roman" w:cs="Times New Roman"/>
          <w:i/>
          <w:iCs/>
          <w:color w:val="5B9BD5" w:themeColor="accent5"/>
          <w:sz w:val="20"/>
          <w:szCs w:val="20"/>
          <w:lang w:val="en-GB"/>
        </w:rPr>
      </w:pPr>
      <w:r>
        <w:rPr>
          <w:rFonts w:ascii="Times New Roman" w:hAnsi="Times New Roman" w:cs="Times New Roman"/>
          <w:i/>
          <w:iCs/>
          <w:color w:val="5B9BD5" w:themeColor="accent5"/>
          <w:sz w:val="20"/>
          <w:szCs w:val="20"/>
          <w:lang w:val="en-GB"/>
        </w:rPr>
        <w:t>Resignation: A core member may ask for early termination of his/her appointment. The procedure to make resignation effective sh</w:t>
      </w:r>
      <w:r w:rsidR="0044308C">
        <w:rPr>
          <w:rFonts w:ascii="Times New Roman" w:hAnsi="Times New Roman" w:cs="Times New Roman"/>
          <w:i/>
          <w:iCs/>
          <w:color w:val="5B9BD5" w:themeColor="accent5"/>
          <w:sz w:val="20"/>
          <w:szCs w:val="20"/>
          <w:lang w:val="en-GB"/>
        </w:rPr>
        <w:t>ould</w:t>
      </w:r>
      <w:r>
        <w:rPr>
          <w:rFonts w:ascii="Times New Roman" w:hAnsi="Times New Roman" w:cs="Times New Roman"/>
          <w:i/>
          <w:iCs/>
          <w:color w:val="5B9BD5" w:themeColor="accent5"/>
          <w:sz w:val="20"/>
          <w:szCs w:val="20"/>
          <w:lang w:val="en-GB"/>
        </w:rPr>
        <w:t xml:space="preserve"> be described in the SOP. </w:t>
      </w:r>
    </w:p>
    <w:p w:rsidRPr="00363DD8" w:rsidR="00A21466" w:rsidP="002E6068" w:rsidRDefault="00A21466" w14:paraId="13FCF2DA" w14:textId="69FD601F">
      <w:pPr>
        <w:jc w:val="both"/>
        <w:rPr>
          <w:rFonts w:ascii="Times New Roman" w:hAnsi="Times New Roman" w:cs="Times New Roman"/>
          <w:i/>
          <w:iCs/>
          <w:color w:val="5B9BD5" w:themeColor="accent5"/>
          <w:sz w:val="20"/>
          <w:szCs w:val="20"/>
          <w:lang w:val="en-GB"/>
        </w:rPr>
      </w:pPr>
    </w:p>
    <w:p w:rsidRPr="00363DD8" w:rsidR="00A21466" w:rsidP="00A21466" w:rsidRDefault="00A21466" w14:paraId="74C50FB2" w14:textId="6D7A8E7E">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 xml:space="preserve">Working groups: Working groups can be established for gathering, </w:t>
      </w:r>
      <w:r w:rsidRPr="00363DD8" w:rsidR="0044308C">
        <w:rPr>
          <w:rFonts w:ascii="Times New Roman" w:hAnsi="Times New Roman" w:cs="Times New Roman"/>
          <w:i/>
          <w:iCs/>
          <w:color w:val="5B9BD5" w:themeColor="accent5"/>
          <w:sz w:val="20"/>
          <w:szCs w:val="20"/>
          <w:lang w:val="en-GB"/>
        </w:rPr>
        <w:t>analysing</w:t>
      </w:r>
      <w:r w:rsidRPr="00363DD8">
        <w:rPr>
          <w:rFonts w:ascii="Times New Roman" w:hAnsi="Times New Roman" w:cs="Times New Roman"/>
          <w:i/>
          <w:iCs/>
          <w:color w:val="5B9BD5" w:themeColor="accent5"/>
          <w:sz w:val="20"/>
          <w:szCs w:val="20"/>
          <w:lang w:val="en-GB"/>
        </w:rPr>
        <w:t>, and preparing information to help NITAGs with decision making</w:t>
      </w:r>
      <w:r w:rsidR="006A586C">
        <w:rPr>
          <w:rFonts w:ascii="Times New Roman" w:hAnsi="Times New Roman" w:cs="Times New Roman"/>
          <w:i/>
          <w:iCs/>
          <w:color w:val="5B9BD5" w:themeColor="accent5"/>
          <w:sz w:val="20"/>
          <w:szCs w:val="20"/>
          <w:lang w:val="en-GB"/>
        </w:rPr>
        <w:t xml:space="preserve"> for which they receive secretariat support</w:t>
      </w:r>
      <w:r w:rsidRPr="00363DD8">
        <w:rPr>
          <w:rFonts w:ascii="Times New Roman" w:hAnsi="Times New Roman" w:cs="Times New Roman"/>
          <w:i/>
          <w:iCs/>
          <w:color w:val="5B9BD5" w:themeColor="accent5"/>
          <w:sz w:val="20"/>
          <w:szCs w:val="20"/>
          <w:lang w:val="en-GB"/>
        </w:rPr>
        <w:t>. It is generally comprised of 1-2 or more core NITAG voting members along with additional subject matter expert</w:t>
      </w:r>
      <w:r w:rsidRPr="00363DD8" w:rsidR="000E72DC">
        <w:rPr>
          <w:rFonts w:ascii="Times New Roman" w:hAnsi="Times New Roman" w:cs="Times New Roman"/>
          <w:i/>
          <w:iCs/>
          <w:color w:val="5B9BD5" w:themeColor="accent5"/>
          <w:sz w:val="20"/>
          <w:szCs w:val="20"/>
          <w:lang w:val="en-GB"/>
        </w:rPr>
        <w:t>s as deemed necessary</w:t>
      </w:r>
      <w:r w:rsidR="006A586C">
        <w:rPr>
          <w:rFonts w:ascii="Times New Roman" w:hAnsi="Times New Roman" w:cs="Times New Roman"/>
          <w:i/>
          <w:iCs/>
          <w:color w:val="5B9BD5" w:themeColor="accent5"/>
          <w:sz w:val="20"/>
          <w:szCs w:val="20"/>
          <w:lang w:val="en-GB"/>
        </w:rPr>
        <w:t>.</w:t>
      </w:r>
      <w:r w:rsidRPr="00363DD8" w:rsidR="00A912A8">
        <w:rPr>
          <w:rFonts w:ascii="Times New Roman" w:hAnsi="Times New Roman" w:cs="Times New Roman"/>
          <w:i/>
          <w:iCs/>
          <w:color w:val="5B9BD5" w:themeColor="accent5"/>
          <w:sz w:val="20"/>
          <w:szCs w:val="20"/>
          <w:lang w:val="en-GB"/>
        </w:rPr>
        <w:t>&gt;</w:t>
      </w:r>
    </w:p>
    <w:p w:rsidRPr="00363DD8" w:rsidR="00A21466" w:rsidP="002E6068" w:rsidRDefault="00A21466" w14:paraId="385D77AE" w14:textId="77777777">
      <w:pPr>
        <w:jc w:val="both"/>
        <w:rPr>
          <w:rFonts w:ascii="Times New Roman" w:hAnsi="Times New Roman" w:cs="Times New Roman"/>
          <w:i/>
          <w:iCs/>
          <w:color w:val="5B9BD5" w:themeColor="accent5"/>
          <w:sz w:val="20"/>
          <w:szCs w:val="20"/>
          <w:lang w:val="en-GB"/>
        </w:rPr>
      </w:pPr>
    </w:p>
    <w:p w:rsidRPr="00363DD8" w:rsidR="00994508" w:rsidP="002E6068" w:rsidRDefault="00791F64" w14:paraId="0E7A83D9" w14:textId="224DC6A8">
      <w:pPr>
        <w:spacing w:before="100" w:beforeAutospacing="1" w:after="100" w:afterAutospacing="1"/>
        <w:jc w:val="both"/>
        <w:rPr>
          <w:rFonts w:ascii="Times New Roman" w:hAnsi="Times New Roman" w:eastAsia="Times New Roman" w:cs="Times New Roman"/>
          <w:b/>
          <w:bCs/>
          <w:u w:val="single"/>
          <w:lang w:val="en-GB" w:eastAsia="en-GB"/>
        </w:rPr>
      </w:pPr>
      <w:r w:rsidRPr="00363DD8">
        <w:rPr>
          <w:rFonts w:ascii="Times New Roman" w:hAnsi="Times New Roman" w:eastAsia="Times New Roman" w:cs="Times New Roman"/>
          <w:b/>
          <w:bCs/>
          <w:u w:val="single"/>
          <w:lang w:val="en-GB" w:eastAsia="en-GB"/>
        </w:rPr>
        <w:t>Mode of operation:</w:t>
      </w:r>
    </w:p>
    <w:p w:rsidRPr="00363DD8" w:rsidR="006F5118" w:rsidP="002E6068" w:rsidRDefault="00930922" w14:paraId="4357D4F2" w14:textId="7893E31D">
      <w:pPr>
        <w:pStyle w:val="NormalWeb"/>
        <w:jc w:val="both"/>
        <w:rPr>
          <w:lang w:val="en-GB"/>
        </w:rPr>
      </w:pPr>
      <w:r w:rsidRPr="00363DD8">
        <w:rPr>
          <w:lang w:val="en-GB"/>
        </w:rPr>
        <w:t>&lt;</w:t>
      </w:r>
      <w:r w:rsidRPr="00363DD8" w:rsidR="006F5118">
        <w:rPr>
          <w:lang w:val="en-GB"/>
        </w:rPr>
        <w:t xml:space="preserve">insert the </w:t>
      </w:r>
      <w:r w:rsidRPr="00363DD8">
        <w:rPr>
          <w:lang w:val="en-GB"/>
        </w:rPr>
        <w:t>interest prevention and management policy</w:t>
      </w:r>
      <w:r w:rsidRPr="00363DD8" w:rsidR="00892667">
        <w:rPr>
          <w:lang w:val="en-GB"/>
        </w:rPr>
        <w:t xml:space="preserve"> of your NITAG</w:t>
      </w:r>
      <w:r w:rsidRPr="00363DD8" w:rsidR="006F5118">
        <w:rPr>
          <w:lang w:val="en-GB"/>
        </w:rPr>
        <w:t>&gt;</w:t>
      </w:r>
    </w:p>
    <w:p w:rsidRPr="00A3526C" w:rsidR="00A3526C" w:rsidP="00A3526C" w:rsidRDefault="00A912A8" w14:paraId="30AC7788" w14:textId="3755835B">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&lt;</w:t>
      </w:r>
      <w:r w:rsidRPr="00A3526C" w:rsidR="00A3526C">
        <w:rPr>
          <w:rFonts w:ascii="Times New Roman" w:hAnsi="Times New Roman" w:cs="Times New Roman"/>
          <w:i/>
          <w:iCs/>
          <w:color w:val="5B9BD5" w:themeColor="accent5"/>
          <w:sz w:val="20"/>
          <w:szCs w:val="20"/>
          <w:lang w:val="en-GB"/>
        </w:rPr>
        <w:t xml:space="preserve"> Co</w:t>
      </w:r>
      <w:r w:rsidR="00A3526C">
        <w:rPr>
          <w:rFonts w:ascii="Times New Roman" w:hAnsi="Times New Roman" w:cs="Times New Roman"/>
          <w:i/>
          <w:iCs/>
          <w:color w:val="5B9BD5" w:themeColor="accent5"/>
          <w:sz w:val="20"/>
          <w:szCs w:val="20"/>
          <w:lang w:val="en-GB"/>
        </w:rPr>
        <w:t>nflicts of interest (</w:t>
      </w:r>
      <w:proofErr w:type="spellStart"/>
      <w:r w:rsidR="00A3526C">
        <w:rPr>
          <w:rFonts w:ascii="Times New Roman" w:hAnsi="Times New Roman" w:cs="Times New Roman"/>
          <w:i/>
          <w:iCs/>
          <w:color w:val="5B9BD5" w:themeColor="accent5"/>
          <w:sz w:val="20"/>
          <w:szCs w:val="20"/>
          <w:lang w:val="en-GB"/>
        </w:rPr>
        <w:t>CoIs</w:t>
      </w:r>
      <w:proofErr w:type="spellEnd"/>
      <w:r w:rsidR="00A3526C">
        <w:rPr>
          <w:rFonts w:ascii="Times New Roman" w:hAnsi="Times New Roman" w:cs="Times New Roman"/>
          <w:i/>
          <w:iCs/>
          <w:color w:val="5B9BD5" w:themeColor="accent5"/>
          <w:sz w:val="20"/>
          <w:szCs w:val="20"/>
          <w:lang w:val="en-GB"/>
        </w:rPr>
        <w:t>)</w:t>
      </w:r>
      <w:r w:rsidRPr="00A3526C" w:rsidR="00A3526C">
        <w:rPr>
          <w:rFonts w:ascii="Times New Roman" w:hAnsi="Times New Roman" w:cs="Times New Roman"/>
          <w:i/>
          <w:iCs/>
          <w:color w:val="5B9BD5" w:themeColor="accent5"/>
          <w:sz w:val="20"/>
          <w:szCs w:val="20"/>
          <w:lang w:val="en-GB"/>
        </w:rPr>
        <w:t xml:space="preserve"> can occur at any stage of the recommendation-making process: setting of the NITAG agenda, preparation of background documents, presentation and discussion during the NITAG plenary assembly, and voting or consensus-reaching. </w:t>
      </w:r>
      <w:proofErr w:type="spellStart"/>
      <w:r w:rsidRPr="00A3526C" w:rsidR="00A3526C">
        <w:rPr>
          <w:rFonts w:ascii="Times New Roman" w:hAnsi="Times New Roman" w:cs="Times New Roman"/>
          <w:i/>
          <w:iCs/>
          <w:color w:val="5B9BD5" w:themeColor="accent5"/>
          <w:sz w:val="20"/>
          <w:szCs w:val="20"/>
          <w:lang w:val="en-GB"/>
        </w:rPr>
        <w:t>CoIs</w:t>
      </w:r>
      <w:proofErr w:type="spellEnd"/>
      <w:r w:rsidRPr="00A3526C" w:rsidR="00A3526C">
        <w:rPr>
          <w:rFonts w:ascii="Times New Roman" w:hAnsi="Times New Roman" w:cs="Times New Roman"/>
          <w:i/>
          <w:iCs/>
          <w:color w:val="5B9BD5" w:themeColor="accent5"/>
          <w:sz w:val="20"/>
          <w:szCs w:val="20"/>
          <w:lang w:val="en-GB"/>
        </w:rPr>
        <w:t xml:space="preserve"> should therefore be prevented at every stage of this process.</w:t>
      </w:r>
    </w:p>
    <w:p w:rsidR="00A3526C" w:rsidP="00A3526C" w:rsidRDefault="00A3526C" w14:paraId="63725AD2" w14:textId="4179468F">
      <w:pPr>
        <w:jc w:val="both"/>
        <w:rPr>
          <w:rFonts w:ascii="Times New Roman" w:hAnsi="Times New Roman" w:cs="Times New Roman"/>
          <w:i/>
          <w:iCs/>
          <w:color w:val="5B9BD5" w:themeColor="accent5"/>
          <w:sz w:val="20"/>
          <w:szCs w:val="20"/>
          <w:lang w:val="en-GB"/>
        </w:rPr>
      </w:pPr>
      <w:r w:rsidRPr="00A3526C">
        <w:rPr>
          <w:rFonts w:ascii="Times New Roman" w:hAnsi="Times New Roman" w:cs="Times New Roman"/>
          <w:i/>
          <w:iCs/>
          <w:color w:val="5B9BD5" w:themeColor="accent5"/>
          <w:sz w:val="20"/>
          <w:szCs w:val="20"/>
          <w:lang w:val="en-GB"/>
        </w:rPr>
        <w:t>For this purpose, a</w:t>
      </w:r>
      <w:r w:rsidR="00ED0A68">
        <w:rPr>
          <w:rFonts w:ascii="Times New Roman" w:hAnsi="Times New Roman" w:cs="Times New Roman"/>
          <w:i/>
          <w:iCs/>
          <w:color w:val="5B9BD5" w:themeColor="accent5"/>
          <w:sz w:val="20"/>
          <w:szCs w:val="20"/>
          <w:lang w:val="en-GB"/>
        </w:rPr>
        <w:t>n interest</w:t>
      </w:r>
      <w:r w:rsidRPr="00A3526C">
        <w:rPr>
          <w:rFonts w:ascii="Times New Roman" w:hAnsi="Times New Roman" w:cs="Times New Roman"/>
          <w:i/>
          <w:iCs/>
          <w:color w:val="5B9BD5" w:themeColor="accent5"/>
          <w:sz w:val="20"/>
          <w:szCs w:val="20"/>
          <w:lang w:val="en-GB"/>
        </w:rPr>
        <w:t xml:space="preserve"> management policy should not apply only to the NITAG Chair and core members but also to the Secretariat and any experts invited to contribute to the working groups.</w:t>
      </w:r>
    </w:p>
    <w:p w:rsidR="00A3526C" w:rsidP="006F5118" w:rsidRDefault="00A3526C" w14:paraId="33C64814" w14:textId="77777777">
      <w:pPr>
        <w:jc w:val="both"/>
        <w:rPr>
          <w:rFonts w:ascii="Times New Roman" w:hAnsi="Times New Roman" w:cs="Times New Roman"/>
          <w:i/>
          <w:iCs/>
          <w:color w:val="5B9BD5" w:themeColor="accent5"/>
          <w:sz w:val="20"/>
          <w:szCs w:val="20"/>
          <w:lang w:val="en-GB"/>
        </w:rPr>
      </w:pPr>
    </w:p>
    <w:p w:rsidRPr="00363DD8" w:rsidR="006F5118" w:rsidP="006F5118" w:rsidRDefault="006F5118" w14:paraId="2BD10361" w14:textId="5805FE96">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 xml:space="preserve">Declaration of interests: All members (chairperson, core members, ex-officio, liaison as well as special invitees) should declare in writing </w:t>
      </w:r>
      <w:r w:rsidR="008B5078">
        <w:rPr>
          <w:rFonts w:ascii="Times New Roman" w:hAnsi="Times New Roman" w:cs="Times New Roman"/>
          <w:i/>
          <w:iCs/>
          <w:color w:val="5B9BD5" w:themeColor="accent5"/>
          <w:sz w:val="20"/>
          <w:szCs w:val="20"/>
          <w:lang w:val="en-GB"/>
        </w:rPr>
        <w:t xml:space="preserve">their relevant interests </w:t>
      </w:r>
      <w:r w:rsidRPr="00363DD8">
        <w:rPr>
          <w:rFonts w:ascii="Times New Roman" w:hAnsi="Times New Roman" w:cs="Times New Roman"/>
          <w:i/>
          <w:iCs/>
          <w:color w:val="5B9BD5" w:themeColor="accent5"/>
          <w:sz w:val="20"/>
          <w:szCs w:val="20"/>
          <w:lang w:val="en-GB"/>
        </w:rPr>
        <w:t>before their official appointment and verbally before each meeting</w:t>
      </w:r>
      <w:r w:rsidR="00A3526C">
        <w:rPr>
          <w:rFonts w:ascii="Times New Roman" w:hAnsi="Times New Roman" w:cs="Times New Roman"/>
          <w:i/>
          <w:iCs/>
          <w:color w:val="5B9BD5" w:themeColor="accent5"/>
          <w:sz w:val="20"/>
          <w:szCs w:val="20"/>
          <w:lang w:val="en-GB"/>
        </w:rPr>
        <w:t xml:space="preserve"> or recommendation decision</w:t>
      </w:r>
      <w:r w:rsidRPr="00363DD8">
        <w:rPr>
          <w:rFonts w:ascii="Times New Roman" w:hAnsi="Times New Roman" w:cs="Times New Roman"/>
          <w:i/>
          <w:iCs/>
          <w:color w:val="5B9BD5" w:themeColor="accent5"/>
          <w:sz w:val="20"/>
          <w:szCs w:val="20"/>
          <w:lang w:val="en-GB"/>
        </w:rPr>
        <w:t>, and/or proactively if there is any change or update to their</w:t>
      </w:r>
      <w:r w:rsidRPr="00363DD8" w:rsidR="00043B10">
        <w:rPr>
          <w:rFonts w:ascii="Times New Roman" w:hAnsi="Times New Roman" w:cs="Times New Roman"/>
          <w:i/>
          <w:iCs/>
          <w:color w:val="5B9BD5" w:themeColor="accent5"/>
          <w:sz w:val="20"/>
          <w:szCs w:val="20"/>
          <w:lang w:val="en-GB"/>
        </w:rPr>
        <w:t xml:space="preserve"> initial</w:t>
      </w:r>
      <w:r w:rsidRPr="00363DD8">
        <w:rPr>
          <w:rFonts w:ascii="Times New Roman" w:hAnsi="Times New Roman" w:cs="Times New Roman"/>
          <w:i/>
          <w:iCs/>
          <w:color w:val="5B9BD5" w:themeColor="accent5"/>
          <w:sz w:val="20"/>
          <w:szCs w:val="20"/>
          <w:lang w:val="en-GB"/>
        </w:rPr>
        <w:t xml:space="preserve"> interests and affiliations. NITAGs should develop a policy to prevent and manage interests</w:t>
      </w:r>
      <w:r w:rsidRPr="00363DD8" w:rsidR="00A912A8">
        <w:rPr>
          <w:rFonts w:ascii="Times New Roman" w:hAnsi="Times New Roman" w:cs="Times New Roman"/>
          <w:i/>
          <w:iCs/>
          <w:color w:val="5B9BD5" w:themeColor="accent5"/>
          <w:sz w:val="20"/>
          <w:szCs w:val="20"/>
          <w:lang w:val="en-GB"/>
        </w:rPr>
        <w:t>&gt;</w:t>
      </w:r>
    </w:p>
    <w:p w:rsidRPr="00363DD8" w:rsidR="006F5118" w:rsidP="002E6068" w:rsidRDefault="006F5118" w14:paraId="18A4A690" w14:textId="411CF65F">
      <w:pPr>
        <w:pStyle w:val="NormalWeb"/>
        <w:jc w:val="both"/>
        <w:rPr>
          <w:lang w:val="en-GB"/>
        </w:rPr>
      </w:pPr>
      <w:r w:rsidRPr="00363DD8">
        <w:rPr>
          <w:lang w:val="en-GB"/>
        </w:rPr>
        <w:t xml:space="preserve">&lt;insert </w:t>
      </w:r>
      <w:r w:rsidRPr="00363DD8" w:rsidR="00930922">
        <w:rPr>
          <w:lang w:val="en-GB"/>
        </w:rPr>
        <w:t>the confidentiality agreement</w:t>
      </w:r>
      <w:r w:rsidRPr="00363DD8">
        <w:rPr>
          <w:lang w:val="en-GB"/>
        </w:rPr>
        <w:t xml:space="preserve"> procedure for your NITAG&gt;</w:t>
      </w:r>
    </w:p>
    <w:p w:rsidRPr="00363DD8" w:rsidR="006F5118" w:rsidP="006F5118" w:rsidRDefault="00A912A8" w14:paraId="4DFD6390" w14:textId="6E26FCC7">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lastRenderedPageBreak/>
        <w:t>&lt;</w:t>
      </w:r>
      <w:r w:rsidRPr="00363DD8" w:rsidR="006F5118">
        <w:rPr>
          <w:rFonts w:ascii="Times New Roman" w:hAnsi="Times New Roman" w:cs="Times New Roman"/>
          <w:i/>
          <w:iCs/>
          <w:color w:val="5B9BD5" w:themeColor="accent5"/>
          <w:sz w:val="20"/>
          <w:szCs w:val="20"/>
          <w:lang w:val="en-GB"/>
        </w:rPr>
        <w:t>Confidentiality agreement: Annually, all members (chairperson, core members, ex-officio, liaison as well as special invitees) should sign an agreement stating that they will keep information confidential</w:t>
      </w:r>
      <w:r w:rsidRPr="00363DD8">
        <w:rPr>
          <w:rFonts w:ascii="Times New Roman" w:hAnsi="Times New Roman" w:cs="Times New Roman"/>
          <w:i/>
          <w:iCs/>
          <w:color w:val="5B9BD5" w:themeColor="accent5"/>
          <w:sz w:val="20"/>
          <w:szCs w:val="20"/>
          <w:lang w:val="en-GB"/>
        </w:rPr>
        <w:t>&gt;</w:t>
      </w:r>
    </w:p>
    <w:p w:rsidRPr="00363DD8" w:rsidR="006F5118" w:rsidP="002E6068" w:rsidRDefault="006F5118" w14:paraId="50415CF2" w14:textId="5BD6145A">
      <w:pPr>
        <w:pStyle w:val="NormalWeb"/>
        <w:jc w:val="both"/>
        <w:rPr>
          <w:lang w:val="en-GB"/>
        </w:rPr>
      </w:pPr>
      <w:r w:rsidRPr="00363DD8">
        <w:rPr>
          <w:lang w:val="en-GB"/>
        </w:rPr>
        <w:t xml:space="preserve">&lt;insert </w:t>
      </w:r>
      <w:r w:rsidRPr="00363DD8" w:rsidR="008110C8">
        <w:rPr>
          <w:lang w:val="en-GB"/>
        </w:rPr>
        <w:t>the</w:t>
      </w:r>
      <w:r w:rsidRPr="00363DD8">
        <w:rPr>
          <w:lang w:val="en-GB"/>
        </w:rPr>
        <w:t xml:space="preserve"> defined</w:t>
      </w:r>
      <w:r w:rsidRPr="00363DD8" w:rsidR="008110C8">
        <w:rPr>
          <w:lang w:val="en-GB"/>
        </w:rPr>
        <w:t xml:space="preserve"> </w:t>
      </w:r>
      <w:r w:rsidRPr="00363DD8" w:rsidR="00930922">
        <w:rPr>
          <w:lang w:val="en-GB"/>
        </w:rPr>
        <w:t xml:space="preserve">role and support from the </w:t>
      </w:r>
      <w:r w:rsidR="005D39C1">
        <w:rPr>
          <w:lang w:val="en-GB"/>
        </w:rPr>
        <w:t xml:space="preserve">core members, non-core members and </w:t>
      </w:r>
      <w:r w:rsidRPr="00363DD8" w:rsidR="00930922">
        <w:rPr>
          <w:lang w:val="en-GB"/>
        </w:rPr>
        <w:t>secretariat</w:t>
      </w:r>
      <w:r w:rsidRPr="00363DD8">
        <w:rPr>
          <w:lang w:val="en-GB"/>
        </w:rPr>
        <w:t>&gt;</w:t>
      </w:r>
      <w:r w:rsidRPr="00363DD8" w:rsidR="00930922">
        <w:rPr>
          <w:lang w:val="en-GB"/>
        </w:rPr>
        <w:t xml:space="preserve"> </w:t>
      </w:r>
    </w:p>
    <w:p w:rsidR="00B74B58" w:rsidP="006F5118" w:rsidRDefault="00A912A8" w14:paraId="0D399391" w14:textId="498B3BCD">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&lt;</w:t>
      </w:r>
      <w:r w:rsidR="000D65E5">
        <w:rPr>
          <w:rFonts w:ascii="Times New Roman" w:hAnsi="Times New Roman" w:cs="Times New Roman"/>
          <w:i/>
          <w:iCs/>
          <w:color w:val="5B9BD5" w:themeColor="accent5"/>
          <w:sz w:val="20"/>
          <w:szCs w:val="20"/>
          <w:lang w:val="en-GB"/>
        </w:rPr>
        <w:t>Core member roles:</w:t>
      </w:r>
      <w:r w:rsidR="00B74B58">
        <w:rPr>
          <w:rFonts w:ascii="Times New Roman" w:hAnsi="Times New Roman" w:cs="Times New Roman"/>
          <w:i/>
          <w:iCs/>
          <w:color w:val="5B9BD5" w:themeColor="accent5"/>
          <w:sz w:val="20"/>
          <w:szCs w:val="20"/>
          <w:lang w:val="en-GB"/>
        </w:rPr>
        <w:t xml:space="preserve"> </w:t>
      </w:r>
      <w:r w:rsidR="000D65E5">
        <w:rPr>
          <w:rFonts w:ascii="Times New Roman" w:hAnsi="Times New Roman" w:cs="Times New Roman"/>
          <w:i/>
          <w:iCs/>
          <w:color w:val="5B9BD5" w:themeColor="accent5"/>
          <w:sz w:val="20"/>
          <w:szCs w:val="20"/>
          <w:lang w:val="en-GB"/>
        </w:rPr>
        <w:t>attending meetings, documentation revision,</w:t>
      </w:r>
      <w:r w:rsidR="00B74B58">
        <w:rPr>
          <w:rFonts w:ascii="Times New Roman" w:hAnsi="Times New Roman" w:cs="Times New Roman"/>
          <w:i/>
          <w:iCs/>
          <w:color w:val="5B9BD5" w:themeColor="accent5"/>
          <w:sz w:val="20"/>
          <w:szCs w:val="20"/>
          <w:lang w:val="en-GB"/>
        </w:rPr>
        <w:t xml:space="preserve"> participation in working groups, NITAG advocacy, </w:t>
      </w:r>
      <w:r w:rsidR="005D39C1">
        <w:rPr>
          <w:rFonts w:ascii="Times New Roman" w:hAnsi="Times New Roman" w:cs="Times New Roman"/>
          <w:i/>
          <w:iCs/>
          <w:color w:val="5B9BD5" w:themeColor="accent5"/>
          <w:sz w:val="20"/>
          <w:szCs w:val="20"/>
          <w:lang w:val="en-GB"/>
        </w:rPr>
        <w:t>spokesperson,</w:t>
      </w:r>
      <w:r w:rsidR="00B74B58">
        <w:rPr>
          <w:rFonts w:ascii="Times New Roman" w:hAnsi="Times New Roman" w:cs="Times New Roman"/>
          <w:i/>
          <w:iCs/>
          <w:color w:val="5B9BD5" w:themeColor="accent5"/>
          <w:sz w:val="20"/>
          <w:szCs w:val="20"/>
          <w:lang w:val="en-GB"/>
        </w:rPr>
        <w:t xml:space="preserve"> and communications, etc. according to what </w:t>
      </w:r>
      <w:r w:rsidR="0043625B">
        <w:rPr>
          <w:rFonts w:ascii="Times New Roman" w:hAnsi="Times New Roman" w:cs="Times New Roman"/>
          <w:i/>
          <w:iCs/>
          <w:color w:val="5B9BD5" w:themeColor="accent5"/>
          <w:sz w:val="20"/>
          <w:szCs w:val="20"/>
          <w:lang w:val="en-GB"/>
        </w:rPr>
        <w:t xml:space="preserve">has been </w:t>
      </w:r>
      <w:r w:rsidR="00B74B58">
        <w:rPr>
          <w:rFonts w:ascii="Times New Roman" w:hAnsi="Times New Roman" w:cs="Times New Roman"/>
          <w:i/>
          <w:iCs/>
          <w:color w:val="5B9BD5" w:themeColor="accent5"/>
          <w:sz w:val="20"/>
          <w:szCs w:val="20"/>
          <w:lang w:val="en-GB"/>
        </w:rPr>
        <w:t xml:space="preserve">delineated by the Ministerial decree.  </w:t>
      </w:r>
    </w:p>
    <w:p w:rsidR="00B74B58" w:rsidP="006F5118" w:rsidRDefault="00B74B58" w14:paraId="2333EFE3" w14:textId="77777777">
      <w:pPr>
        <w:jc w:val="both"/>
        <w:rPr>
          <w:rFonts w:ascii="Times New Roman" w:hAnsi="Times New Roman" w:cs="Times New Roman"/>
          <w:i/>
          <w:iCs/>
          <w:color w:val="5B9BD5" w:themeColor="accent5"/>
          <w:sz w:val="20"/>
          <w:szCs w:val="20"/>
          <w:lang w:val="en-GB"/>
        </w:rPr>
      </w:pPr>
    </w:p>
    <w:p w:rsidR="000D65E5" w:rsidP="006F5118" w:rsidRDefault="00B74B58" w14:paraId="6E16FFC8" w14:textId="071D698D">
      <w:pPr>
        <w:jc w:val="both"/>
        <w:rPr>
          <w:rFonts w:ascii="Times New Roman" w:hAnsi="Times New Roman" w:cs="Times New Roman"/>
          <w:i/>
          <w:iCs/>
          <w:color w:val="5B9BD5" w:themeColor="accent5"/>
          <w:sz w:val="20"/>
          <w:szCs w:val="20"/>
          <w:lang w:val="en-GB"/>
        </w:rPr>
      </w:pPr>
      <w:r>
        <w:rPr>
          <w:rFonts w:ascii="Times New Roman" w:hAnsi="Times New Roman" w:cs="Times New Roman"/>
          <w:i/>
          <w:iCs/>
          <w:color w:val="5B9BD5" w:themeColor="accent5"/>
          <w:sz w:val="20"/>
          <w:szCs w:val="20"/>
          <w:lang w:val="en-GB"/>
        </w:rPr>
        <w:t xml:space="preserve">Liaison members: </w:t>
      </w:r>
      <w:r w:rsidRPr="00B74B58">
        <w:rPr>
          <w:rFonts w:ascii="Times New Roman" w:hAnsi="Times New Roman" w:cs="Times New Roman"/>
          <w:i/>
          <w:iCs/>
          <w:color w:val="5B9BD5" w:themeColor="accent5"/>
          <w:sz w:val="20"/>
          <w:szCs w:val="20"/>
          <w:lang w:val="en-GB"/>
        </w:rPr>
        <w:t xml:space="preserve">to bring knowledge and input into </w:t>
      </w:r>
      <w:r>
        <w:rPr>
          <w:rFonts w:ascii="Times New Roman" w:hAnsi="Times New Roman" w:cs="Times New Roman"/>
          <w:i/>
          <w:iCs/>
          <w:color w:val="5B9BD5" w:themeColor="accent5"/>
          <w:sz w:val="20"/>
          <w:szCs w:val="20"/>
          <w:lang w:val="en-GB"/>
        </w:rPr>
        <w:t>the NITAG</w:t>
      </w:r>
      <w:r w:rsidRPr="00B74B58">
        <w:rPr>
          <w:rFonts w:ascii="Times New Roman" w:hAnsi="Times New Roman" w:cs="Times New Roman"/>
          <w:i/>
          <w:iCs/>
          <w:color w:val="5B9BD5" w:themeColor="accent5"/>
          <w:sz w:val="20"/>
          <w:szCs w:val="20"/>
          <w:lang w:val="en-GB"/>
        </w:rPr>
        <w:t xml:space="preserve"> discussions; express the views of the </w:t>
      </w:r>
      <w:r>
        <w:rPr>
          <w:rFonts w:ascii="Times New Roman" w:hAnsi="Times New Roman" w:cs="Times New Roman"/>
          <w:i/>
          <w:iCs/>
          <w:color w:val="5B9BD5" w:themeColor="accent5"/>
          <w:sz w:val="20"/>
          <w:szCs w:val="20"/>
          <w:lang w:val="en-GB"/>
        </w:rPr>
        <w:t>societies or associations they represent,</w:t>
      </w:r>
      <w:r w:rsidRPr="00B74B58">
        <w:rPr>
          <w:rFonts w:ascii="Times New Roman" w:hAnsi="Times New Roman" w:cs="Times New Roman"/>
          <w:i/>
          <w:iCs/>
          <w:color w:val="5B9BD5" w:themeColor="accent5"/>
          <w:sz w:val="20"/>
          <w:szCs w:val="20"/>
          <w:lang w:val="en-GB"/>
        </w:rPr>
        <w:t xml:space="preserve"> and communicate </w:t>
      </w:r>
      <w:r>
        <w:rPr>
          <w:rFonts w:ascii="Times New Roman" w:hAnsi="Times New Roman" w:cs="Times New Roman"/>
          <w:i/>
          <w:iCs/>
          <w:color w:val="5B9BD5" w:themeColor="accent5"/>
          <w:sz w:val="20"/>
          <w:szCs w:val="20"/>
          <w:lang w:val="en-GB"/>
        </w:rPr>
        <w:t>NITAG</w:t>
      </w:r>
      <w:r w:rsidRPr="00B74B58">
        <w:rPr>
          <w:rFonts w:ascii="Times New Roman" w:hAnsi="Times New Roman" w:cs="Times New Roman"/>
          <w:i/>
          <w:iCs/>
          <w:color w:val="5B9BD5" w:themeColor="accent5"/>
          <w:sz w:val="20"/>
          <w:szCs w:val="20"/>
          <w:lang w:val="en-GB"/>
        </w:rPr>
        <w:t xml:space="preserve">'s </w:t>
      </w:r>
      <w:r>
        <w:rPr>
          <w:rFonts w:ascii="Times New Roman" w:hAnsi="Times New Roman" w:cs="Times New Roman"/>
          <w:i/>
          <w:iCs/>
          <w:color w:val="5B9BD5" w:themeColor="accent5"/>
          <w:sz w:val="20"/>
          <w:szCs w:val="20"/>
          <w:lang w:val="en-GB"/>
        </w:rPr>
        <w:t>recommendation</w:t>
      </w:r>
      <w:r w:rsidRPr="00B74B58">
        <w:rPr>
          <w:rFonts w:ascii="Times New Roman" w:hAnsi="Times New Roman" w:cs="Times New Roman"/>
          <w:i/>
          <w:iCs/>
          <w:color w:val="5B9BD5" w:themeColor="accent5"/>
          <w:sz w:val="20"/>
          <w:szCs w:val="20"/>
          <w:lang w:val="en-GB"/>
        </w:rPr>
        <w:t xml:space="preserve"> to the</w:t>
      </w:r>
      <w:r>
        <w:rPr>
          <w:rFonts w:ascii="Times New Roman" w:hAnsi="Times New Roman" w:cs="Times New Roman"/>
          <w:i/>
          <w:iCs/>
          <w:color w:val="5B9BD5" w:themeColor="accent5"/>
          <w:sz w:val="20"/>
          <w:szCs w:val="20"/>
          <w:lang w:val="en-GB"/>
        </w:rPr>
        <w:t>m</w:t>
      </w:r>
      <w:r w:rsidRPr="00B74B58">
        <w:rPr>
          <w:rFonts w:ascii="Times New Roman" w:hAnsi="Times New Roman" w:cs="Times New Roman"/>
          <w:i/>
          <w:iCs/>
          <w:color w:val="5B9BD5" w:themeColor="accent5"/>
          <w:sz w:val="20"/>
          <w:szCs w:val="20"/>
          <w:lang w:val="en-GB"/>
        </w:rPr>
        <w:t>, as appropriate</w:t>
      </w:r>
      <w:r>
        <w:rPr>
          <w:rFonts w:ascii="Times New Roman" w:hAnsi="Times New Roman" w:cs="Times New Roman"/>
          <w:i/>
          <w:iCs/>
          <w:color w:val="5B9BD5" w:themeColor="accent5"/>
          <w:sz w:val="20"/>
          <w:szCs w:val="20"/>
          <w:lang w:val="en-GB"/>
        </w:rPr>
        <w:t xml:space="preserve">. </w:t>
      </w:r>
    </w:p>
    <w:p w:rsidR="00B74B58" w:rsidP="006F5118" w:rsidRDefault="00B74B58" w14:paraId="1149EBC4" w14:textId="77777777">
      <w:pPr>
        <w:jc w:val="both"/>
        <w:rPr>
          <w:rFonts w:ascii="Times New Roman" w:hAnsi="Times New Roman" w:cs="Times New Roman"/>
          <w:i/>
          <w:iCs/>
          <w:color w:val="5B9BD5" w:themeColor="accent5"/>
          <w:sz w:val="20"/>
          <w:szCs w:val="20"/>
          <w:lang w:val="en-GB"/>
        </w:rPr>
      </w:pPr>
    </w:p>
    <w:p w:rsidR="00676D85" w:rsidP="2DB0A83D" w:rsidRDefault="006F5118" w14:paraId="3465B6C0" w14:textId="0E2E9580">
      <w:pPr>
        <w:jc w:val="both"/>
        <w:rPr>
          <w:rFonts w:ascii="Times New Roman" w:hAnsi="Times New Roman" w:cs="Times New Roman"/>
          <w:i w:val="1"/>
          <w:iCs w:val="1"/>
          <w:color w:val="5B9BD5" w:themeColor="accent5"/>
          <w:sz w:val="20"/>
          <w:szCs w:val="20"/>
          <w:lang w:val="en-GB"/>
        </w:rPr>
      </w:pPr>
      <w:r w:rsidRPr="2DB0A83D" w:rsidR="006F5118">
        <w:rPr>
          <w:rFonts w:ascii="Times New Roman" w:hAnsi="Times New Roman" w:cs="Times New Roman"/>
          <w:i w:val="1"/>
          <w:iCs w:val="1"/>
          <w:color w:val="5B9BD5" w:themeColor="accent5" w:themeTint="FF" w:themeShade="FF"/>
          <w:sz w:val="20"/>
          <w:szCs w:val="20"/>
          <w:lang w:val="en-GB"/>
        </w:rPr>
        <w:t xml:space="preserve">Secretariat role and support: The </w:t>
      </w:r>
      <w:r w:rsidRPr="2DB0A83D" w:rsidR="00676D85">
        <w:rPr>
          <w:rFonts w:ascii="Times New Roman" w:hAnsi="Times New Roman" w:cs="Times New Roman"/>
          <w:i w:val="1"/>
          <w:iCs w:val="1"/>
          <w:color w:val="5B9BD5" w:themeColor="accent5" w:themeTint="FF" w:themeShade="FF"/>
          <w:sz w:val="20"/>
          <w:szCs w:val="20"/>
          <w:lang w:val="en-GB"/>
        </w:rPr>
        <w:t>S</w:t>
      </w:r>
      <w:r w:rsidRPr="2DB0A83D" w:rsidR="006F5118">
        <w:rPr>
          <w:rFonts w:ascii="Times New Roman" w:hAnsi="Times New Roman" w:cs="Times New Roman"/>
          <w:i w:val="1"/>
          <w:iCs w:val="1"/>
          <w:color w:val="5B9BD5" w:themeColor="accent5" w:themeTint="FF" w:themeShade="FF"/>
          <w:sz w:val="20"/>
          <w:szCs w:val="20"/>
          <w:lang w:val="en-GB"/>
        </w:rPr>
        <w:t xml:space="preserve">ecretariat </w:t>
      </w:r>
      <w:r w:rsidRPr="2DB0A83D" w:rsidR="00676D85">
        <w:rPr>
          <w:rFonts w:ascii="Times New Roman" w:hAnsi="Times New Roman" w:cs="Times New Roman"/>
          <w:i w:val="1"/>
          <w:iCs w:val="1"/>
          <w:color w:val="5B9BD5" w:themeColor="accent5" w:themeTint="FF" w:themeShade="FF"/>
          <w:sz w:val="20"/>
          <w:szCs w:val="20"/>
          <w:lang w:val="en-GB"/>
        </w:rPr>
        <w:t xml:space="preserve">shall provide the means for NITAG functioning as well as actively participate in NITAG meeting bringing knowledge and inputs into discussions. The Secretariat </w:t>
      </w:r>
      <w:r w:rsidRPr="2DB0A83D" w:rsidR="006F5118">
        <w:rPr>
          <w:rFonts w:ascii="Times New Roman" w:hAnsi="Times New Roman" w:cs="Times New Roman"/>
          <w:i w:val="1"/>
          <w:iCs w:val="1"/>
          <w:color w:val="5B9BD5" w:themeColor="accent5" w:themeTint="FF" w:themeShade="FF"/>
          <w:sz w:val="20"/>
          <w:szCs w:val="20"/>
          <w:lang w:val="en-GB"/>
        </w:rPr>
        <w:t xml:space="preserve">is responsible for drafting the NITAG’s SOP, Terms of reference as well as the meeting agenda. </w:t>
      </w:r>
      <w:r w:rsidRPr="2DB0A83D" w:rsidR="00324844">
        <w:rPr>
          <w:rFonts w:ascii="Times New Roman" w:hAnsi="Times New Roman" w:cs="Times New Roman"/>
          <w:i w:val="1"/>
          <w:iCs w:val="1"/>
          <w:color w:val="5B9BD5" w:themeColor="accent5" w:themeTint="FF" w:themeShade="FF"/>
          <w:sz w:val="20"/>
          <w:szCs w:val="20"/>
          <w:lang w:val="en-GB"/>
        </w:rPr>
        <w:t>It</w:t>
      </w:r>
      <w:r w:rsidRPr="2DB0A83D" w:rsidR="006F5118">
        <w:rPr>
          <w:rFonts w:ascii="Times New Roman" w:hAnsi="Times New Roman" w:cs="Times New Roman"/>
          <w:i w:val="1"/>
          <w:iCs w:val="1"/>
          <w:color w:val="5B9BD5" w:themeColor="accent5" w:themeTint="FF" w:themeShade="FF"/>
          <w:sz w:val="20"/>
          <w:szCs w:val="20"/>
          <w:lang w:val="en-GB"/>
        </w:rPr>
        <w:t xml:space="preserve"> should circulate the agenda to the members </w:t>
      </w:r>
      <w:r w:rsidRPr="2DB0A83D" w:rsidR="00A3526C">
        <w:rPr>
          <w:rFonts w:ascii="Times New Roman" w:hAnsi="Times New Roman" w:cs="Times New Roman"/>
          <w:i w:val="1"/>
          <w:iCs w:val="1"/>
          <w:color w:val="5B9BD5" w:themeColor="accent5" w:themeTint="FF" w:themeShade="FF"/>
          <w:sz w:val="20"/>
          <w:szCs w:val="20"/>
          <w:lang w:val="en-GB"/>
        </w:rPr>
        <w:t>two</w:t>
      </w:r>
      <w:r w:rsidRPr="2DB0A83D" w:rsidR="006F5118">
        <w:rPr>
          <w:rFonts w:ascii="Times New Roman" w:hAnsi="Times New Roman" w:cs="Times New Roman"/>
          <w:i w:val="1"/>
          <w:iCs w:val="1"/>
          <w:color w:val="5B9BD5" w:themeColor="accent5" w:themeTint="FF" w:themeShade="FF"/>
          <w:sz w:val="20"/>
          <w:szCs w:val="20"/>
          <w:lang w:val="en-GB"/>
        </w:rPr>
        <w:t xml:space="preserve"> weeks prior to the meetings along with background information / technical documents collected by the secretariat (or the working groups) to assist NITAGs with their deliberation. All documentation of the NITAG</w:t>
      </w:r>
      <w:r w:rsidRPr="2DB0A83D" w:rsidR="000D65E5">
        <w:rPr>
          <w:rFonts w:ascii="Times New Roman" w:hAnsi="Times New Roman" w:cs="Times New Roman"/>
          <w:i w:val="1"/>
          <w:iCs w:val="1"/>
          <w:color w:val="5B9BD5" w:themeColor="accent5" w:themeTint="FF" w:themeShade="FF"/>
          <w:sz w:val="20"/>
          <w:szCs w:val="20"/>
          <w:lang w:val="en-GB"/>
        </w:rPr>
        <w:t xml:space="preserve"> including </w:t>
      </w:r>
      <w:r w:rsidRPr="2DB0A83D" w:rsidR="006F5118">
        <w:rPr>
          <w:rFonts w:ascii="Times New Roman" w:hAnsi="Times New Roman" w:cs="Times New Roman"/>
          <w:i w:val="1"/>
          <w:iCs w:val="1"/>
          <w:color w:val="5B9BD5" w:themeColor="accent5" w:themeTint="FF" w:themeShade="FF"/>
          <w:sz w:val="20"/>
          <w:szCs w:val="20"/>
          <w:lang w:val="en-GB"/>
        </w:rPr>
        <w:t>meeting minutes, recommendations to the Ministry of Health, overseeing the NITAG website (if available)</w:t>
      </w:r>
      <w:r w:rsidRPr="2DB0A83D" w:rsidR="000D65E5">
        <w:rPr>
          <w:rFonts w:ascii="Times New Roman" w:hAnsi="Times New Roman" w:cs="Times New Roman"/>
          <w:i w:val="1"/>
          <w:iCs w:val="1"/>
          <w:color w:val="5B9BD5" w:themeColor="accent5" w:themeTint="FF" w:themeShade="FF"/>
          <w:sz w:val="20"/>
          <w:szCs w:val="20"/>
          <w:lang w:val="en-GB"/>
        </w:rPr>
        <w:t>,</w:t>
      </w:r>
      <w:r w:rsidRPr="2DB0A83D" w:rsidR="006F5118">
        <w:rPr>
          <w:rFonts w:ascii="Times New Roman" w:hAnsi="Times New Roman" w:cs="Times New Roman"/>
          <w:i w:val="1"/>
          <w:iCs w:val="1"/>
          <w:color w:val="5B9BD5" w:themeColor="accent5" w:themeTint="FF" w:themeShade="FF"/>
          <w:sz w:val="20"/>
          <w:szCs w:val="20"/>
          <w:lang w:val="en-GB"/>
        </w:rPr>
        <w:t xml:space="preserve"> must be undertaken by the secretariat. If desired the secretariat can also establish a work plan for their NITAG and can lead, co-lead or support NITAG assessments and evaluations. </w:t>
      </w:r>
      <w:r w:rsidRPr="2DB0A83D" w:rsidR="00A24E84">
        <w:rPr>
          <w:rFonts w:ascii="Times New Roman" w:hAnsi="Times New Roman" w:cs="Times New Roman"/>
          <w:i w:val="1"/>
          <w:iCs w:val="1"/>
          <w:color w:val="5B9BD5" w:themeColor="accent5" w:themeTint="FF" w:themeShade="FF"/>
          <w:sz w:val="20"/>
          <w:szCs w:val="20"/>
          <w:lang w:val="en-GB"/>
        </w:rPr>
        <w:t xml:space="preserve">More detailed information on all these aspects, can be accessed </w:t>
      </w:r>
      <w:r w:rsidRPr="2DB0A83D" w:rsidR="5B3692A5">
        <w:rPr>
          <w:rFonts w:ascii="Times New Roman" w:hAnsi="Times New Roman" w:cs="Times New Roman"/>
          <w:i w:val="1"/>
          <w:iCs w:val="1"/>
          <w:color w:val="5B9BD5" w:themeColor="accent5" w:themeTint="FF" w:themeShade="FF"/>
          <w:sz w:val="20"/>
          <w:szCs w:val="20"/>
          <w:lang w:val="en-GB"/>
        </w:rPr>
        <w:t xml:space="preserve">on the secretariat checklist available </w:t>
      </w:r>
      <w:hyperlink r:id="R0fa16964ea2d47db">
        <w:r w:rsidRPr="2DB0A83D" w:rsidR="5B3692A5">
          <w:rPr>
            <w:rStyle w:val="Hyperlink"/>
            <w:rFonts w:ascii="Times New Roman" w:hAnsi="Times New Roman" w:cs="Times New Roman"/>
            <w:i w:val="1"/>
            <w:iCs w:val="1"/>
            <w:sz w:val="20"/>
            <w:szCs w:val="20"/>
            <w:lang w:val="en-GB"/>
          </w:rPr>
          <w:t>here</w:t>
        </w:r>
      </w:hyperlink>
      <w:r w:rsidRPr="2DB0A83D" w:rsidR="5B3692A5">
        <w:rPr>
          <w:rFonts w:ascii="Times New Roman" w:hAnsi="Times New Roman" w:cs="Times New Roman"/>
          <w:i w:val="1"/>
          <w:iCs w:val="1"/>
          <w:color w:val="5B9BD5" w:themeColor="accent5" w:themeTint="FF" w:themeShade="FF"/>
          <w:sz w:val="20"/>
          <w:szCs w:val="20"/>
          <w:lang w:val="en-GB"/>
        </w:rPr>
        <w:t>.</w:t>
      </w:r>
    </w:p>
    <w:p w:rsidR="00676D85" w:rsidP="006F5118" w:rsidRDefault="00676D85" w14:paraId="2C18FB66" w14:textId="77777777">
      <w:pPr>
        <w:jc w:val="both"/>
        <w:rPr>
          <w:rFonts w:ascii="Times New Roman" w:hAnsi="Times New Roman" w:cs="Times New Roman"/>
          <w:i/>
          <w:iCs/>
          <w:color w:val="5B9BD5" w:themeColor="accent5"/>
          <w:sz w:val="20"/>
          <w:szCs w:val="20"/>
          <w:lang w:val="en-GB"/>
        </w:rPr>
      </w:pPr>
    </w:p>
    <w:p w:rsidRPr="00363DD8" w:rsidR="006F5118" w:rsidP="006F5118" w:rsidRDefault="00676D85" w14:paraId="2F1C3C52" w14:textId="589E7F81">
      <w:pPr>
        <w:jc w:val="both"/>
        <w:rPr>
          <w:rFonts w:ascii="Times New Roman" w:hAnsi="Times New Roman" w:cs="Times New Roman"/>
          <w:i/>
          <w:iCs/>
          <w:color w:val="5B9BD5" w:themeColor="accent5"/>
          <w:sz w:val="20"/>
          <w:szCs w:val="20"/>
          <w:lang w:val="en-GB"/>
        </w:rPr>
      </w:pPr>
      <w:r w:rsidRPr="00676D85">
        <w:rPr>
          <w:rFonts w:ascii="Times New Roman" w:hAnsi="Times New Roman" w:cs="Times New Roman"/>
          <w:i/>
          <w:iCs/>
          <w:color w:val="5B9BD5" w:themeColor="accent5"/>
          <w:sz w:val="20"/>
          <w:szCs w:val="20"/>
          <w:lang w:val="en-GB"/>
        </w:rPr>
        <w:t>Executive Secretary</w:t>
      </w:r>
      <w:r>
        <w:rPr>
          <w:rFonts w:ascii="Times New Roman" w:hAnsi="Times New Roman" w:cs="Times New Roman"/>
          <w:i/>
          <w:iCs/>
          <w:color w:val="5B9BD5" w:themeColor="accent5"/>
          <w:sz w:val="20"/>
          <w:szCs w:val="20"/>
          <w:lang w:val="en-GB"/>
        </w:rPr>
        <w:t>: It</w:t>
      </w:r>
      <w:r w:rsidRPr="00676D85">
        <w:rPr>
          <w:rFonts w:ascii="Times New Roman" w:hAnsi="Times New Roman" w:cs="Times New Roman"/>
          <w:i/>
          <w:iCs/>
          <w:color w:val="5B9BD5" w:themeColor="accent5"/>
          <w:sz w:val="20"/>
          <w:szCs w:val="20"/>
          <w:lang w:val="en-GB"/>
        </w:rPr>
        <w:t xml:space="preserve"> provides leadership and strategic advice for achieving the mandate </w:t>
      </w:r>
      <w:r>
        <w:rPr>
          <w:rFonts w:ascii="Times New Roman" w:hAnsi="Times New Roman" w:cs="Times New Roman"/>
          <w:i/>
          <w:iCs/>
          <w:color w:val="5B9BD5" w:themeColor="accent5"/>
          <w:sz w:val="20"/>
          <w:szCs w:val="20"/>
          <w:lang w:val="en-GB"/>
        </w:rPr>
        <w:t>of the NITAG</w:t>
      </w:r>
      <w:r w:rsidRPr="00676D85">
        <w:rPr>
          <w:rFonts w:ascii="Times New Roman" w:hAnsi="Times New Roman" w:cs="Times New Roman"/>
          <w:i/>
          <w:iCs/>
          <w:color w:val="5B9BD5" w:themeColor="accent5"/>
          <w:sz w:val="20"/>
          <w:szCs w:val="20"/>
          <w:lang w:val="en-GB"/>
        </w:rPr>
        <w:t xml:space="preserve">, including its management. This position works closely with the </w:t>
      </w:r>
      <w:r w:rsidR="00DA024A">
        <w:rPr>
          <w:rFonts w:ascii="Times New Roman" w:hAnsi="Times New Roman" w:cs="Times New Roman"/>
          <w:i/>
          <w:iCs/>
          <w:color w:val="5B9BD5" w:themeColor="accent5"/>
          <w:sz w:val="20"/>
          <w:szCs w:val="20"/>
          <w:lang w:val="en-GB"/>
        </w:rPr>
        <w:t>NITAG Chair</w:t>
      </w:r>
      <w:r>
        <w:rPr>
          <w:rFonts w:ascii="Times New Roman" w:hAnsi="Times New Roman" w:cs="Times New Roman"/>
          <w:i/>
          <w:iCs/>
          <w:color w:val="5B9BD5" w:themeColor="accent5"/>
          <w:sz w:val="20"/>
          <w:szCs w:val="20"/>
          <w:lang w:val="en-GB"/>
        </w:rPr>
        <w:t xml:space="preserve"> and</w:t>
      </w:r>
      <w:r w:rsidRPr="00676D85">
        <w:rPr>
          <w:rFonts w:ascii="Times New Roman" w:hAnsi="Times New Roman" w:cs="Times New Roman"/>
          <w:i/>
          <w:iCs/>
          <w:color w:val="5B9BD5" w:themeColor="accent5"/>
          <w:sz w:val="20"/>
          <w:szCs w:val="20"/>
          <w:lang w:val="en-GB"/>
        </w:rPr>
        <w:t xml:space="preserve"> the Secretariat to ensure </w:t>
      </w:r>
      <w:r>
        <w:rPr>
          <w:rFonts w:ascii="Times New Roman" w:hAnsi="Times New Roman" w:cs="Times New Roman"/>
          <w:i/>
          <w:iCs/>
          <w:color w:val="5B9BD5" w:themeColor="accent5"/>
          <w:sz w:val="20"/>
          <w:szCs w:val="20"/>
          <w:lang w:val="en-GB"/>
        </w:rPr>
        <w:t>the NITAG</w:t>
      </w:r>
      <w:r w:rsidRPr="00676D85">
        <w:rPr>
          <w:rFonts w:ascii="Times New Roman" w:hAnsi="Times New Roman" w:cs="Times New Roman"/>
          <w:i/>
          <w:iCs/>
          <w:color w:val="5B9BD5" w:themeColor="accent5"/>
          <w:sz w:val="20"/>
          <w:szCs w:val="20"/>
          <w:lang w:val="en-GB"/>
        </w:rPr>
        <w:t xml:space="preserve">'s mandate is met in an effective and efficient manner. This position provides advice to </w:t>
      </w:r>
      <w:r>
        <w:rPr>
          <w:rFonts w:ascii="Times New Roman" w:hAnsi="Times New Roman" w:cs="Times New Roman"/>
          <w:i/>
          <w:iCs/>
          <w:color w:val="5B9BD5" w:themeColor="accent5"/>
          <w:sz w:val="20"/>
          <w:szCs w:val="20"/>
          <w:lang w:val="en-GB"/>
        </w:rPr>
        <w:t>the Ministry of Health</w:t>
      </w:r>
      <w:r w:rsidRPr="00676D85">
        <w:rPr>
          <w:rFonts w:ascii="Times New Roman" w:hAnsi="Times New Roman" w:cs="Times New Roman"/>
          <w:i/>
          <w:iCs/>
          <w:color w:val="5B9BD5" w:themeColor="accent5"/>
          <w:sz w:val="20"/>
          <w:szCs w:val="20"/>
          <w:lang w:val="en-GB"/>
        </w:rPr>
        <w:t xml:space="preserve"> on </w:t>
      </w:r>
      <w:r>
        <w:rPr>
          <w:rFonts w:ascii="Times New Roman" w:hAnsi="Times New Roman" w:cs="Times New Roman"/>
          <w:i/>
          <w:iCs/>
          <w:color w:val="5B9BD5" w:themeColor="accent5"/>
          <w:sz w:val="20"/>
          <w:szCs w:val="20"/>
          <w:lang w:val="en-GB"/>
        </w:rPr>
        <w:t>NITAG</w:t>
      </w:r>
      <w:r w:rsidRPr="00676D85">
        <w:rPr>
          <w:rFonts w:ascii="Times New Roman" w:hAnsi="Times New Roman" w:cs="Times New Roman"/>
          <w:i/>
          <w:iCs/>
          <w:color w:val="5B9BD5" w:themeColor="accent5"/>
          <w:sz w:val="20"/>
          <w:szCs w:val="20"/>
          <w:lang w:val="en-GB"/>
        </w:rPr>
        <w:t xml:space="preserve"> related issues and keeps </w:t>
      </w:r>
      <w:r>
        <w:rPr>
          <w:rFonts w:ascii="Times New Roman" w:hAnsi="Times New Roman" w:cs="Times New Roman"/>
          <w:i/>
          <w:iCs/>
          <w:color w:val="5B9BD5" w:themeColor="accent5"/>
          <w:sz w:val="20"/>
          <w:szCs w:val="20"/>
          <w:lang w:val="en-GB"/>
        </w:rPr>
        <w:t>the NITAG</w:t>
      </w:r>
      <w:r w:rsidRPr="00676D85">
        <w:rPr>
          <w:rFonts w:ascii="Times New Roman" w:hAnsi="Times New Roman" w:cs="Times New Roman"/>
          <w:i/>
          <w:iCs/>
          <w:color w:val="5B9BD5" w:themeColor="accent5"/>
          <w:sz w:val="20"/>
          <w:szCs w:val="20"/>
          <w:lang w:val="en-GB"/>
        </w:rPr>
        <w:t xml:space="preserve"> informed of issues that may impact its operation.</w:t>
      </w:r>
      <w:r>
        <w:rPr>
          <w:rFonts w:ascii="Times New Roman" w:hAnsi="Times New Roman" w:cs="Times New Roman"/>
          <w:i/>
          <w:iCs/>
          <w:color w:val="5B9BD5" w:themeColor="accent5"/>
          <w:sz w:val="20"/>
          <w:szCs w:val="20"/>
          <w:lang w:val="en-GB"/>
        </w:rPr>
        <w:t xml:space="preserve"> The Executive Secretary may be nested within the Secretariat and responsible for implementing the Secretariat’s tasks associated with NITAG operation, including meetings preparation, recommendation crafting, </w:t>
      </w:r>
      <w:r w:rsidR="00A17FC6">
        <w:rPr>
          <w:rFonts w:ascii="Times New Roman" w:hAnsi="Times New Roman" w:cs="Times New Roman"/>
          <w:i/>
          <w:iCs/>
          <w:color w:val="5B9BD5" w:themeColor="accent5"/>
          <w:sz w:val="20"/>
          <w:szCs w:val="20"/>
          <w:lang w:val="en-GB"/>
        </w:rPr>
        <w:t>and NITAG evaluation.</w:t>
      </w:r>
      <w:r w:rsidRPr="00363DD8" w:rsidR="00A912A8">
        <w:rPr>
          <w:rFonts w:ascii="Times New Roman" w:hAnsi="Times New Roman" w:cs="Times New Roman"/>
          <w:i/>
          <w:iCs/>
          <w:color w:val="5B9BD5" w:themeColor="accent5"/>
          <w:sz w:val="20"/>
          <w:szCs w:val="20"/>
          <w:lang w:val="en-GB"/>
        </w:rPr>
        <w:t>&gt;</w:t>
      </w:r>
    </w:p>
    <w:p w:rsidRPr="00363DD8" w:rsidR="00A24E84" w:rsidP="006F5118" w:rsidRDefault="00A24E84" w14:paraId="438C74F3" w14:textId="77777777">
      <w:pPr>
        <w:jc w:val="both"/>
        <w:rPr>
          <w:rFonts w:ascii="Times New Roman" w:hAnsi="Times New Roman" w:cs="Times New Roman"/>
          <w:i/>
          <w:iCs/>
          <w:color w:val="5B9BD5" w:themeColor="accent5"/>
          <w:sz w:val="20"/>
          <w:szCs w:val="20"/>
          <w:lang w:val="en-GB"/>
        </w:rPr>
      </w:pPr>
    </w:p>
    <w:p w:rsidRPr="00363DD8" w:rsidR="006F5118" w:rsidP="002E6068" w:rsidRDefault="006F5118" w14:paraId="697E651C" w14:textId="77777777">
      <w:pPr>
        <w:pStyle w:val="NormalWeb"/>
        <w:jc w:val="both"/>
        <w:rPr>
          <w:lang w:val="en-GB"/>
        </w:rPr>
      </w:pPr>
      <w:r w:rsidRPr="00363DD8">
        <w:rPr>
          <w:lang w:val="en-GB"/>
        </w:rPr>
        <w:t xml:space="preserve">&lt;insert the </w:t>
      </w:r>
      <w:r w:rsidRPr="00363DD8" w:rsidR="00930922">
        <w:rPr>
          <w:lang w:val="en-GB"/>
        </w:rPr>
        <w:t xml:space="preserve">meeting </w:t>
      </w:r>
      <w:r w:rsidRPr="00363DD8" w:rsidR="001D1D1F">
        <w:rPr>
          <w:lang w:val="en-GB"/>
        </w:rPr>
        <w:t xml:space="preserve">rules and </w:t>
      </w:r>
      <w:r w:rsidRPr="00363DD8" w:rsidR="00930922">
        <w:rPr>
          <w:lang w:val="en-GB"/>
        </w:rPr>
        <w:t>format</w:t>
      </w:r>
      <w:r w:rsidRPr="00363DD8">
        <w:rPr>
          <w:lang w:val="en-GB"/>
        </w:rPr>
        <w:t xml:space="preserve"> for NITAG members to follow&gt;</w:t>
      </w:r>
    </w:p>
    <w:p w:rsidRPr="00363DD8" w:rsidR="006F5118" w:rsidP="006F5118" w:rsidRDefault="00A912A8" w14:paraId="0CF84946" w14:textId="70719824">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&lt;</w:t>
      </w:r>
      <w:r w:rsidRPr="00363DD8" w:rsidR="006F5118">
        <w:rPr>
          <w:rFonts w:ascii="Times New Roman" w:hAnsi="Times New Roman" w:cs="Times New Roman"/>
          <w:i/>
          <w:iCs/>
          <w:color w:val="5B9BD5" w:themeColor="accent5"/>
          <w:sz w:val="20"/>
          <w:szCs w:val="20"/>
          <w:lang w:val="en-GB"/>
        </w:rPr>
        <w:t>Meeting rules and frequency: NITAGs must meet at</w:t>
      </w:r>
      <w:r w:rsidR="00A3526C">
        <w:rPr>
          <w:rFonts w:ascii="Times New Roman" w:hAnsi="Times New Roman" w:cs="Times New Roman"/>
          <w:i/>
          <w:iCs/>
          <w:color w:val="5B9BD5" w:themeColor="accent5"/>
          <w:sz w:val="20"/>
          <w:szCs w:val="20"/>
          <w:lang w:val="en-GB"/>
        </w:rPr>
        <w:t xml:space="preserve"> </w:t>
      </w:r>
      <w:r w:rsidRPr="00363DD8" w:rsidR="006F5118">
        <w:rPr>
          <w:rFonts w:ascii="Times New Roman" w:hAnsi="Times New Roman" w:cs="Times New Roman"/>
          <w:i/>
          <w:iCs/>
          <w:color w:val="5B9BD5" w:themeColor="accent5"/>
          <w:sz w:val="20"/>
          <w:szCs w:val="20"/>
          <w:lang w:val="en-GB"/>
        </w:rPr>
        <w:t xml:space="preserve">least once a year, with flexibility for additional meetings as needed. </w:t>
      </w:r>
      <w:r w:rsidRPr="00986BFB" w:rsidR="00A3526C">
        <w:rPr>
          <w:rFonts w:ascii="Times New Roman" w:hAnsi="Times New Roman" w:cs="Times New Roman"/>
          <w:i/>
          <w:iCs/>
          <w:color w:val="5B9BD5" w:themeColor="accent5"/>
          <w:sz w:val="20"/>
          <w:szCs w:val="20"/>
          <w:lang w:val="en-GB"/>
        </w:rPr>
        <w:t>Emergency or ad hoc meetings may be called by the chairperson as needed to address emerging issues. Reference materials along with the agenda should be provided in advance of</w:t>
      </w:r>
      <w:r w:rsidR="00A3526C">
        <w:rPr>
          <w:rFonts w:ascii="Times New Roman" w:hAnsi="Times New Roman" w:cs="Times New Roman"/>
          <w:i/>
          <w:iCs/>
          <w:color w:val="5B9BD5" w:themeColor="accent5"/>
          <w:sz w:val="20"/>
          <w:szCs w:val="20"/>
          <w:lang w:val="en-GB"/>
        </w:rPr>
        <w:t xml:space="preserve"> ordinary, </w:t>
      </w:r>
      <w:r w:rsidR="00640D74">
        <w:rPr>
          <w:rFonts w:ascii="Times New Roman" w:hAnsi="Times New Roman" w:cs="Times New Roman"/>
          <w:i/>
          <w:iCs/>
          <w:color w:val="5B9BD5" w:themeColor="accent5"/>
          <w:sz w:val="20"/>
          <w:szCs w:val="20"/>
          <w:lang w:val="en-GB"/>
        </w:rPr>
        <w:t>extraordinary,</w:t>
      </w:r>
      <w:r w:rsidR="00A3526C">
        <w:rPr>
          <w:rFonts w:ascii="Times New Roman" w:hAnsi="Times New Roman" w:cs="Times New Roman"/>
          <w:i/>
          <w:iCs/>
          <w:color w:val="5B9BD5" w:themeColor="accent5"/>
          <w:sz w:val="20"/>
          <w:szCs w:val="20"/>
          <w:lang w:val="en-GB"/>
        </w:rPr>
        <w:t xml:space="preserve"> and </w:t>
      </w:r>
      <w:r w:rsidRPr="00986BFB" w:rsidR="00A3526C">
        <w:rPr>
          <w:rFonts w:ascii="Times New Roman" w:hAnsi="Times New Roman" w:cs="Times New Roman"/>
          <w:i/>
          <w:iCs/>
          <w:color w:val="5B9BD5" w:themeColor="accent5"/>
          <w:sz w:val="20"/>
          <w:szCs w:val="20"/>
          <w:lang w:val="en-GB"/>
        </w:rPr>
        <w:t>emergency meetings</w:t>
      </w:r>
      <w:r w:rsidRPr="00A3526C" w:rsidR="00A3526C">
        <w:rPr>
          <w:rFonts w:ascii="Times New Roman" w:hAnsi="Times New Roman" w:cs="Times New Roman"/>
          <w:i/>
          <w:iCs/>
          <w:color w:val="5B9BD5" w:themeColor="accent5"/>
          <w:sz w:val="20"/>
          <w:szCs w:val="20"/>
          <w:lang w:val="en-GB"/>
        </w:rPr>
        <w:t xml:space="preserve"> </w:t>
      </w:r>
      <w:r w:rsidRPr="00363DD8" w:rsidR="006F5118">
        <w:rPr>
          <w:rFonts w:ascii="Times New Roman" w:hAnsi="Times New Roman" w:cs="Times New Roman"/>
          <w:i/>
          <w:iCs/>
          <w:color w:val="5B9BD5" w:themeColor="accent5"/>
          <w:sz w:val="20"/>
          <w:szCs w:val="20"/>
          <w:lang w:val="en-GB"/>
        </w:rPr>
        <w:t>The meetings can be open or closed. Countries can select either of the option appropriate for them. Open meetings increase transparency and may improve public acceptance but may make the process less efficient</w:t>
      </w:r>
      <w:r w:rsidR="000D65E5">
        <w:rPr>
          <w:rFonts w:ascii="Times New Roman" w:hAnsi="Times New Roman" w:cs="Times New Roman"/>
          <w:i/>
          <w:iCs/>
          <w:color w:val="5B9BD5" w:themeColor="accent5"/>
          <w:sz w:val="20"/>
          <w:szCs w:val="20"/>
          <w:lang w:val="en-GB"/>
        </w:rPr>
        <w:t xml:space="preserve"> or be difficult to implement in terms of infrastructure</w:t>
      </w:r>
      <w:r w:rsidRPr="00363DD8" w:rsidR="006F5118">
        <w:rPr>
          <w:rFonts w:ascii="Times New Roman" w:hAnsi="Times New Roman" w:cs="Times New Roman"/>
          <w:i/>
          <w:iCs/>
          <w:color w:val="5B9BD5" w:themeColor="accent5"/>
          <w:sz w:val="20"/>
          <w:szCs w:val="20"/>
          <w:lang w:val="en-GB"/>
        </w:rPr>
        <w:t xml:space="preserve">. Industry </w:t>
      </w:r>
      <w:r w:rsidRPr="00102EB4" w:rsidR="006F5118">
        <w:rPr>
          <w:rFonts w:ascii="Times New Roman" w:hAnsi="Times New Roman" w:cs="Times New Roman"/>
          <w:i/>
          <w:iCs/>
          <w:color w:val="5B9BD5" w:themeColor="accent5"/>
          <w:sz w:val="20"/>
          <w:szCs w:val="20"/>
          <w:lang w:val="en-GB"/>
        </w:rPr>
        <w:t xml:space="preserve">do not have the power to vote, </w:t>
      </w:r>
      <w:r w:rsidRPr="00363DD8" w:rsidR="006F5118">
        <w:rPr>
          <w:rFonts w:ascii="Times New Roman" w:hAnsi="Times New Roman" w:cs="Times New Roman"/>
          <w:i/>
          <w:iCs/>
          <w:color w:val="5B9BD5" w:themeColor="accent5"/>
          <w:sz w:val="20"/>
          <w:szCs w:val="20"/>
          <w:lang w:val="en-GB"/>
        </w:rPr>
        <w:t xml:space="preserve">but occasionally they can be invited to highly structured settings to provide specific information. </w:t>
      </w:r>
      <w:r w:rsidRPr="00363DD8">
        <w:rPr>
          <w:rFonts w:ascii="Times New Roman" w:hAnsi="Times New Roman" w:cs="Times New Roman"/>
          <w:i/>
          <w:iCs/>
          <w:color w:val="5B9BD5" w:themeColor="accent5"/>
          <w:sz w:val="20"/>
          <w:szCs w:val="20"/>
          <w:lang w:val="en-GB"/>
        </w:rPr>
        <w:t>&gt;</w:t>
      </w:r>
    </w:p>
    <w:p w:rsidRPr="00363DD8" w:rsidR="006F5118" w:rsidP="002E6068" w:rsidRDefault="006F5118" w14:paraId="54F11F68" w14:textId="70300357">
      <w:pPr>
        <w:pStyle w:val="NormalWeb"/>
        <w:jc w:val="both"/>
        <w:rPr>
          <w:lang w:val="en-GB"/>
        </w:rPr>
      </w:pPr>
      <w:r w:rsidRPr="00363DD8">
        <w:rPr>
          <w:lang w:val="en-GB"/>
        </w:rPr>
        <w:t xml:space="preserve">&lt;insert </w:t>
      </w:r>
      <w:r w:rsidRPr="00363DD8" w:rsidR="001D1D1F">
        <w:rPr>
          <w:lang w:val="en-GB"/>
        </w:rPr>
        <w:t xml:space="preserve">the </w:t>
      </w:r>
      <w:r w:rsidRPr="00363DD8">
        <w:rPr>
          <w:lang w:val="en-GB"/>
        </w:rPr>
        <w:t>decision-making</w:t>
      </w:r>
      <w:r w:rsidRPr="00363DD8" w:rsidR="00930922">
        <w:rPr>
          <w:lang w:val="en-GB"/>
        </w:rPr>
        <w:t xml:space="preserve"> process</w:t>
      </w:r>
      <w:r w:rsidRPr="00363DD8">
        <w:rPr>
          <w:lang w:val="en-GB"/>
        </w:rPr>
        <w:t xml:space="preserve"> to be followed by your NITAG&gt;</w:t>
      </w:r>
    </w:p>
    <w:p w:rsidRPr="00363DD8" w:rsidR="00B2056D" w:rsidP="00B2056D" w:rsidRDefault="00A912A8" w14:paraId="6EF39818" w14:textId="2BB2E771">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&lt;</w:t>
      </w:r>
      <w:r w:rsidRPr="00363DD8" w:rsidR="00B2056D">
        <w:rPr>
          <w:rFonts w:ascii="Times New Roman" w:hAnsi="Times New Roman" w:cs="Times New Roman"/>
          <w:i/>
          <w:iCs/>
          <w:color w:val="5B9BD5" w:themeColor="accent5"/>
          <w:sz w:val="20"/>
          <w:szCs w:val="20"/>
          <w:lang w:val="en-GB"/>
        </w:rPr>
        <w:t>Process for agenda development: Items should come from the Ministry of Health, but NITAG</w:t>
      </w:r>
      <w:r w:rsidRPr="00363DD8" w:rsidR="00C507C8">
        <w:rPr>
          <w:rFonts w:ascii="Times New Roman" w:hAnsi="Times New Roman" w:cs="Times New Roman"/>
          <w:i/>
          <w:iCs/>
          <w:color w:val="5B9BD5" w:themeColor="accent5"/>
          <w:sz w:val="20"/>
          <w:szCs w:val="20"/>
          <w:lang w:val="en-GB"/>
        </w:rPr>
        <w:t xml:space="preserve"> chair, secretariat</w:t>
      </w:r>
      <w:r w:rsidRPr="00363DD8" w:rsidR="00B2056D">
        <w:rPr>
          <w:rFonts w:ascii="Times New Roman" w:hAnsi="Times New Roman" w:cs="Times New Roman"/>
          <w:i/>
          <w:iCs/>
          <w:color w:val="5B9BD5" w:themeColor="accent5"/>
          <w:sz w:val="20"/>
          <w:szCs w:val="20"/>
          <w:lang w:val="en-GB"/>
        </w:rPr>
        <w:t xml:space="preserve"> and stakeholders may suggest issues.</w:t>
      </w:r>
    </w:p>
    <w:p w:rsidRPr="00363DD8" w:rsidR="00B2056D" w:rsidP="00B2056D" w:rsidRDefault="00B2056D" w14:paraId="121EC2EA" w14:textId="77777777">
      <w:pPr>
        <w:jc w:val="both"/>
        <w:rPr>
          <w:rFonts w:ascii="Times New Roman" w:hAnsi="Times New Roman" w:cs="Times New Roman"/>
          <w:i/>
          <w:iCs/>
          <w:color w:val="5B9BD5" w:themeColor="accent5"/>
          <w:sz w:val="20"/>
          <w:szCs w:val="20"/>
          <w:lang w:val="en-GB"/>
        </w:rPr>
      </w:pPr>
    </w:p>
    <w:p w:rsidRPr="00363DD8" w:rsidR="00B2056D" w:rsidP="00B2056D" w:rsidRDefault="00B2056D" w14:paraId="41283797" w14:textId="3970A833">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Process to review and share evidence: Prior to meetings, specific questions should be articulated to the NITAG. Agenda and background documents must be circulated by the Secretariat at least 2 weeks in advance of meetings.</w:t>
      </w:r>
    </w:p>
    <w:p w:rsidRPr="00363DD8" w:rsidR="00DB42F7" w:rsidP="00B2056D" w:rsidRDefault="00DB42F7" w14:paraId="31F18B8A" w14:textId="1A82ECE6">
      <w:pPr>
        <w:jc w:val="both"/>
        <w:rPr>
          <w:rFonts w:ascii="Times New Roman" w:hAnsi="Times New Roman" w:cs="Times New Roman"/>
          <w:i/>
          <w:iCs/>
          <w:color w:val="5B9BD5" w:themeColor="accent5"/>
          <w:sz w:val="20"/>
          <w:szCs w:val="20"/>
          <w:lang w:val="en-GB"/>
        </w:rPr>
      </w:pPr>
    </w:p>
    <w:p w:rsidRPr="00363DD8" w:rsidR="00DB42F7" w:rsidP="2DB0A83D" w:rsidRDefault="00DB42F7" w14:paraId="2BC6FD23" w14:textId="4534D3E0" w14:noSpellErr="1">
      <w:pPr>
        <w:jc w:val="both"/>
        <w:rPr>
          <w:rFonts w:ascii="Times New Roman" w:hAnsi="Times New Roman" w:cs="Times New Roman"/>
          <w:i w:val="1"/>
          <w:iCs w:val="1"/>
          <w:color w:val="5B9BD5" w:themeColor="accent5"/>
          <w:sz w:val="20"/>
          <w:szCs w:val="20"/>
          <w:lang w:val="en-GB"/>
        </w:rPr>
      </w:pPr>
      <w:r w:rsidRPr="2DB0A83D" w:rsidR="00DB42F7">
        <w:rPr>
          <w:rFonts w:ascii="Times New Roman" w:hAnsi="Times New Roman" w:cs="Times New Roman"/>
          <w:i w:val="1"/>
          <w:iCs w:val="1"/>
          <w:color w:val="5B9BD5" w:themeColor="accent5" w:themeTint="FF" w:themeShade="FF"/>
          <w:sz w:val="20"/>
          <w:szCs w:val="20"/>
          <w:lang w:val="en-GB"/>
        </w:rPr>
        <w:t xml:space="preserve">NITAG decision making </w:t>
      </w:r>
      <w:r w:rsidRPr="2DB0A83D" w:rsidR="00DB42F7">
        <w:rPr>
          <w:rFonts w:ascii="Times New Roman" w:hAnsi="Times New Roman" w:cs="Times New Roman"/>
          <w:i w:val="1"/>
          <w:iCs w:val="1"/>
          <w:color w:val="5B9BD5" w:themeColor="accent5" w:themeTint="FF" w:themeShade="FF"/>
          <w:sz w:val="20"/>
          <w:szCs w:val="20"/>
          <w:lang w:val="en-GB"/>
        </w:rPr>
        <w:t>process</w:t>
      </w:r>
      <w:r w:rsidRPr="2DB0A83D" w:rsidR="00DB42F7">
        <w:rPr>
          <w:rFonts w:ascii="Times New Roman" w:hAnsi="Times New Roman" w:cs="Times New Roman"/>
          <w:i w:val="1"/>
          <w:iCs w:val="1"/>
          <w:color w:val="5B9BD5" w:themeColor="accent5" w:themeTint="FF" w:themeShade="FF"/>
          <w:sz w:val="20"/>
          <w:szCs w:val="20"/>
          <w:lang w:val="en-GB"/>
        </w:rPr>
        <w:t>: The NITAG must have a well-defined decision-making framework for formulating recommendations. This must be stated in the SOP of each NITAG. The decision-making process should be an evidence-informed, independent process undertaken by defining and adopting a generic set of criteria for decision-making.</w:t>
      </w:r>
    </w:p>
    <w:p w:rsidRPr="00363DD8" w:rsidR="00B2056D" w:rsidP="006F5118" w:rsidRDefault="00B2056D" w14:paraId="654DA659" w14:textId="77777777">
      <w:pPr>
        <w:jc w:val="both"/>
        <w:rPr>
          <w:rFonts w:ascii="Times New Roman" w:hAnsi="Times New Roman" w:cs="Times New Roman"/>
          <w:i/>
          <w:iCs/>
          <w:color w:val="5B9BD5" w:themeColor="accent5"/>
          <w:sz w:val="20"/>
          <w:szCs w:val="20"/>
          <w:lang w:val="en-GB"/>
        </w:rPr>
      </w:pPr>
    </w:p>
    <w:p w:rsidRPr="00363DD8" w:rsidR="006F5118" w:rsidP="006F5118" w:rsidRDefault="006F5118" w14:paraId="1619F45D" w14:textId="4E10C0C0">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Decision by vote or consensus: NITAGs need to decide if decisions of its core members will be made by majority vote or by consensus, and how many members need to be present (quorum) to formulate recommendations</w:t>
      </w:r>
      <w:r w:rsidRPr="00363DD8" w:rsidR="00A912A8">
        <w:rPr>
          <w:rFonts w:ascii="Times New Roman" w:hAnsi="Times New Roman" w:cs="Times New Roman"/>
          <w:i/>
          <w:iCs/>
          <w:color w:val="5B9BD5" w:themeColor="accent5"/>
          <w:sz w:val="20"/>
          <w:szCs w:val="20"/>
          <w:lang w:val="en-GB"/>
        </w:rPr>
        <w:t>&gt;</w:t>
      </w:r>
    </w:p>
    <w:p w:rsidRPr="00363DD8" w:rsidR="006F5118" w:rsidP="002E6068" w:rsidRDefault="00B2056D" w14:paraId="034CADC2" w14:textId="2108C90E">
      <w:pPr>
        <w:pStyle w:val="NormalWeb"/>
        <w:jc w:val="both"/>
        <w:rPr>
          <w:lang w:val="en-GB"/>
        </w:rPr>
      </w:pPr>
      <w:r w:rsidRPr="00363DD8">
        <w:rPr>
          <w:lang w:val="en-GB"/>
        </w:rPr>
        <w:t>&lt;insert the recordkeeping procedure for your NITAG&gt;</w:t>
      </w:r>
    </w:p>
    <w:p w:rsidR="00067953" w:rsidP="2DB0A83D" w:rsidRDefault="00A912A8" w14:paraId="3A0AF37E" w14:textId="326269B6">
      <w:pPr>
        <w:jc w:val="both"/>
        <w:rPr>
          <w:rFonts w:ascii="Times New Roman" w:hAnsi="Times New Roman" w:cs="Times New Roman"/>
          <w:i w:val="1"/>
          <w:iCs w:val="1"/>
          <w:color w:val="5B9BD5" w:themeColor="accent5"/>
          <w:sz w:val="20"/>
          <w:szCs w:val="20"/>
          <w:lang w:val="en-GB"/>
        </w:rPr>
      </w:pPr>
      <w:r w:rsidRPr="2DB0A83D" w:rsidR="00A912A8">
        <w:rPr>
          <w:rFonts w:ascii="Times New Roman" w:hAnsi="Times New Roman" w:cs="Times New Roman"/>
          <w:i w:val="1"/>
          <w:iCs w:val="1"/>
          <w:color w:val="5B9BD5" w:themeColor="accent5" w:themeTint="FF" w:themeShade="FF"/>
          <w:sz w:val="20"/>
          <w:szCs w:val="20"/>
          <w:lang w:val="en-GB"/>
        </w:rPr>
        <w:t>&lt;</w:t>
      </w:r>
      <w:r w:rsidRPr="2DB0A83D" w:rsidR="00B2056D">
        <w:rPr>
          <w:rFonts w:ascii="Times New Roman" w:hAnsi="Times New Roman" w:cs="Times New Roman"/>
          <w:i w:val="1"/>
          <w:iCs w:val="1"/>
          <w:color w:val="5B9BD5" w:themeColor="accent5" w:themeTint="FF" w:themeShade="FF"/>
          <w:sz w:val="20"/>
          <w:szCs w:val="20"/>
          <w:lang w:val="en-GB"/>
        </w:rPr>
        <w:t xml:space="preserve">Recordkeeping and communications: Summary minutes of each meeting focusing on main conclusions and recommendations should be available and endorsed by NITAG within </w:t>
      </w:r>
      <w:r w:rsidRPr="2DB0A83D" w:rsidR="00067953">
        <w:rPr>
          <w:rFonts w:ascii="Times New Roman" w:hAnsi="Times New Roman" w:cs="Times New Roman"/>
          <w:i w:val="1"/>
          <w:iCs w:val="1"/>
          <w:color w:val="5B9BD5" w:themeColor="accent5" w:themeTint="FF" w:themeShade="FF"/>
          <w:sz w:val="20"/>
          <w:szCs w:val="20"/>
          <w:lang w:val="en-GB"/>
        </w:rPr>
        <w:t xml:space="preserve">a maximum of </w:t>
      </w:r>
      <w:r w:rsidRPr="2DB0A83D" w:rsidR="00B2056D">
        <w:rPr>
          <w:rFonts w:ascii="Times New Roman" w:hAnsi="Times New Roman" w:cs="Times New Roman"/>
          <w:i w:val="1"/>
          <w:iCs w:val="1"/>
          <w:color w:val="5B9BD5" w:themeColor="accent5" w:themeTint="FF" w:themeShade="FF"/>
          <w:sz w:val="20"/>
          <w:szCs w:val="20"/>
          <w:lang w:val="en-GB"/>
        </w:rPr>
        <w:t>60</w:t>
      </w:r>
      <w:r w:rsidRPr="2DB0A83D" w:rsidR="00B2056D">
        <w:rPr>
          <w:rFonts w:ascii="Times New Roman" w:hAnsi="Times New Roman" w:cs="Times New Roman"/>
          <w:i w:val="1"/>
          <w:iCs w:val="1"/>
          <w:color w:val="5B9BD5" w:themeColor="accent5" w:themeTint="FF" w:themeShade="FF"/>
          <w:sz w:val="20"/>
          <w:szCs w:val="20"/>
          <w:lang w:val="en-GB"/>
        </w:rPr>
        <w:t xml:space="preserve"> days of meeting</w:t>
      </w:r>
      <w:r w:rsidRPr="2DB0A83D" w:rsidR="375CD699">
        <w:rPr>
          <w:rFonts w:ascii="Times New Roman" w:hAnsi="Times New Roman" w:cs="Times New Roman"/>
          <w:i w:val="1"/>
          <w:iCs w:val="1"/>
          <w:color w:val="5B9BD5" w:themeColor="accent5" w:themeTint="FF" w:themeShade="FF"/>
          <w:sz w:val="20"/>
          <w:szCs w:val="20"/>
          <w:lang w:val="en-GB"/>
        </w:rPr>
        <w:t xml:space="preserve"> and ideally shortly after the meeting (two weeks)</w:t>
      </w:r>
      <w:r w:rsidRPr="2DB0A83D" w:rsidR="00B2056D">
        <w:rPr>
          <w:rFonts w:ascii="Times New Roman" w:hAnsi="Times New Roman" w:cs="Times New Roman"/>
          <w:i w:val="1"/>
          <w:iCs w:val="1"/>
          <w:color w:val="5B9BD5" w:themeColor="accent5" w:themeTint="FF" w:themeShade="FF"/>
          <w:sz w:val="20"/>
          <w:szCs w:val="20"/>
          <w:lang w:val="en-GB"/>
        </w:rPr>
        <w:t xml:space="preserve">. Minutes can be public or private. </w:t>
      </w:r>
      <w:r w:rsidRPr="2DB0A83D" w:rsidR="00067953">
        <w:rPr>
          <w:rFonts w:ascii="Times New Roman" w:hAnsi="Times New Roman" w:cs="Times New Roman"/>
          <w:i w:val="1"/>
          <w:iCs w:val="1"/>
          <w:color w:val="5B9BD5" w:themeColor="accent5" w:themeTint="FF" w:themeShade="FF"/>
          <w:sz w:val="20"/>
          <w:szCs w:val="20"/>
          <w:lang w:val="en-GB"/>
        </w:rPr>
        <w:t>Publication of minutes</w:t>
      </w:r>
      <w:r w:rsidRPr="2DB0A83D" w:rsidR="00067953">
        <w:rPr>
          <w:rFonts w:ascii="Times New Roman" w:hAnsi="Times New Roman" w:cs="Times New Roman"/>
          <w:i w:val="1"/>
          <w:iCs w:val="1"/>
          <w:color w:val="5B9BD5" w:themeColor="accent5" w:themeTint="FF" w:themeShade="FF"/>
          <w:sz w:val="20"/>
          <w:szCs w:val="20"/>
          <w:lang w:val="en-GB"/>
        </w:rPr>
        <w:t xml:space="preserve"> increase transparency and may improve public </w:t>
      </w:r>
      <w:r w:rsidRPr="2DB0A83D" w:rsidR="00067953">
        <w:rPr>
          <w:rFonts w:ascii="Times New Roman" w:hAnsi="Times New Roman" w:cs="Times New Roman"/>
          <w:i w:val="1"/>
          <w:iCs w:val="1"/>
          <w:color w:val="5B9BD5" w:themeColor="accent5" w:themeTint="FF" w:themeShade="FF"/>
          <w:sz w:val="20"/>
          <w:szCs w:val="20"/>
          <w:lang w:val="en-GB"/>
        </w:rPr>
        <w:t>trust, as well as help with immunisation</w:t>
      </w:r>
      <w:r w:rsidRPr="2DB0A83D" w:rsidR="00FE661B">
        <w:rPr>
          <w:rFonts w:ascii="Times New Roman" w:hAnsi="Times New Roman" w:cs="Times New Roman"/>
          <w:i w:val="1"/>
          <w:iCs w:val="1"/>
          <w:color w:val="5B9BD5" w:themeColor="accent5" w:themeTint="FF" w:themeShade="FF"/>
          <w:sz w:val="20"/>
          <w:szCs w:val="20"/>
          <w:lang w:val="en-GB"/>
        </w:rPr>
        <w:t xml:space="preserve"> policy</w:t>
      </w:r>
      <w:r w:rsidRPr="2DB0A83D" w:rsidR="00067953">
        <w:rPr>
          <w:rFonts w:ascii="Times New Roman" w:hAnsi="Times New Roman" w:cs="Times New Roman"/>
          <w:i w:val="1"/>
          <w:iCs w:val="1"/>
          <w:color w:val="5B9BD5" w:themeColor="accent5" w:themeTint="FF" w:themeShade="FF"/>
          <w:sz w:val="20"/>
          <w:szCs w:val="20"/>
          <w:lang w:val="en-GB"/>
        </w:rPr>
        <w:t xml:space="preserve"> information dissemination. </w:t>
      </w:r>
    </w:p>
    <w:p w:rsidRPr="00363DD8" w:rsidR="00B2056D" w:rsidP="00653DCA" w:rsidRDefault="00B2056D" w14:paraId="6915E628" w14:textId="3BF62939">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Clear process and format for communicating</w:t>
      </w:r>
      <w:r w:rsidR="009C2EBF">
        <w:rPr>
          <w:rFonts w:ascii="Times New Roman" w:hAnsi="Times New Roman" w:cs="Times New Roman"/>
          <w:i/>
          <w:iCs/>
          <w:color w:val="5B9BD5" w:themeColor="accent5"/>
          <w:sz w:val="20"/>
          <w:szCs w:val="20"/>
          <w:lang w:val="en-GB"/>
        </w:rPr>
        <w:t xml:space="preserve"> the</w:t>
      </w:r>
      <w:r w:rsidRPr="00363DD8">
        <w:rPr>
          <w:rFonts w:ascii="Times New Roman" w:hAnsi="Times New Roman" w:cs="Times New Roman"/>
          <w:i/>
          <w:iCs/>
          <w:color w:val="5B9BD5" w:themeColor="accent5"/>
          <w:sz w:val="20"/>
          <w:szCs w:val="20"/>
          <w:lang w:val="en-GB"/>
        </w:rPr>
        <w:t xml:space="preserve"> minutes to the members as well as the drafted recommendations to the Ministry of Health and decision makers (who, to whom, when, and how) must be established</w:t>
      </w:r>
      <w:r w:rsidRPr="00363DD8" w:rsidR="00A912A8">
        <w:rPr>
          <w:rFonts w:ascii="Times New Roman" w:hAnsi="Times New Roman" w:cs="Times New Roman"/>
          <w:i/>
          <w:iCs/>
          <w:color w:val="5B9BD5" w:themeColor="accent5"/>
          <w:sz w:val="20"/>
          <w:szCs w:val="20"/>
          <w:lang w:val="en-GB"/>
        </w:rPr>
        <w:t>&gt;</w:t>
      </w:r>
    </w:p>
    <w:p w:rsidRPr="00363DD8" w:rsidR="00B2056D" w:rsidP="002E6068" w:rsidRDefault="00B2056D" w14:paraId="6D55166A" w14:textId="58C180BB">
      <w:pPr>
        <w:pStyle w:val="NormalWeb"/>
        <w:jc w:val="both"/>
        <w:rPr>
          <w:lang w:val="en-GB"/>
        </w:rPr>
      </w:pPr>
      <w:r w:rsidRPr="00363DD8">
        <w:rPr>
          <w:lang w:val="en-GB"/>
        </w:rPr>
        <w:t>&lt;Insert</w:t>
      </w:r>
      <w:r w:rsidRPr="00363DD8" w:rsidR="00930922">
        <w:rPr>
          <w:lang w:val="en-GB"/>
        </w:rPr>
        <w:t xml:space="preserve"> the estimated annual operating costs or official terms of funding</w:t>
      </w:r>
      <w:r w:rsidRPr="00363DD8" w:rsidR="00892667">
        <w:rPr>
          <w:lang w:val="en-GB"/>
        </w:rPr>
        <w:t xml:space="preserve"> for your NITAG</w:t>
      </w:r>
      <w:r w:rsidRPr="00363DD8" w:rsidR="000E30B6">
        <w:rPr>
          <w:lang w:val="en-GB"/>
        </w:rPr>
        <w:t>. A</w:t>
      </w:r>
      <w:r w:rsidRPr="00363DD8">
        <w:rPr>
          <w:lang w:val="en-GB"/>
        </w:rPr>
        <w:t>ll</w:t>
      </w:r>
      <w:r w:rsidRPr="00363DD8" w:rsidR="00930922">
        <w:rPr>
          <w:lang w:val="en-GB"/>
        </w:rPr>
        <w:t xml:space="preserve"> NITAG activities should be sustainable through secured and adequate funding</w:t>
      </w:r>
      <w:r w:rsidRPr="00363DD8">
        <w:rPr>
          <w:lang w:val="en-GB"/>
        </w:rPr>
        <w:t>&gt;</w:t>
      </w:r>
    </w:p>
    <w:p w:rsidR="00571D45" w:rsidP="2DB0A83D" w:rsidRDefault="00A912A8" w14:paraId="09FFE1E4" w14:textId="77777777" w14:noSpellErr="1">
      <w:pPr>
        <w:jc w:val="both"/>
        <w:rPr>
          <w:rFonts w:ascii="Times New Roman" w:hAnsi="Times New Roman" w:cs="Times New Roman"/>
          <w:i w:val="1"/>
          <w:iCs w:val="1"/>
          <w:color w:val="5B9BD5" w:themeColor="accent5"/>
          <w:sz w:val="20"/>
          <w:szCs w:val="20"/>
          <w:lang w:val="en-GB"/>
        </w:rPr>
      </w:pPr>
      <w:r w:rsidRPr="2DB0A83D" w:rsidR="00A912A8">
        <w:rPr>
          <w:rFonts w:ascii="Times New Roman" w:hAnsi="Times New Roman" w:cs="Times New Roman"/>
          <w:i w:val="1"/>
          <w:iCs w:val="1"/>
          <w:color w:val="5B9BD5" w:themeColor="accent5" w:themeTint="FF" w:themeShade="FF"/>
          <w:sz w:val="20"/>
          <w:szCs w:val="20"/>
          <w:lang w:val="en-GB"/>
        </w:rPr>
        <w:t>&lt;</w:t>
      </w:r>
      <w:r w:rsidRPr="2DB0A83D" w:rsidR="00B2056D">
        <w:rPr>
          <w:rFonts w:ascii="Times New Roman" w:hAnsi="Times New Roman" w:cs="Times New Roman"/>
          <w:i w:val="1"/>
          <w:iCs w:val="1"/>
          <w:color w:val="5B9BD5" w:themeColor="accent5" w:themeTint="FF" w:themeShade="FF"/>
          <w:sz w:val="20"/>
          <w:szCs w:val="20"/>
          <w:lang w:val="en-GB"/>
        </w:rPr>
        <w:t>Estimated annual operating costs</w:t>
      </w:r>
      <w:r w:rsidRPr="2DB0A83D" w:rsidR="00B2056D">
        <w:rPr>
          <w:rFonts w:ascii="Times New Roman" w:hAnsi="Times New Roman" w:cs="Times New Roman"/>
          <w:i w:val="1"/>
          <w:iCs w:val="1"/>
          <w:color w:val="5B9BD5" w:themeColor="accent5" w:themeTint="FF" w:themeShade="FF"/>
          <w:sz w:val="20"/>
          <w:szCs w:val="20"/>
          <w:lang w:val="en-GB"/>
        </w:rPr>
        <w:t xml:space="preserve">: The NITAG must develop an annual budget that covers </w:t>
      </w:r>
      <w:r w:rsidRPr="2DB0A83D" w:rsidR="00324844">
        <w:rPr>
          <w:rFonts w:ascii="Times New Roman" w:hAnsi="Times New Roman" w:cs="Times New Roman"/>
          <w:i w:val="1"/>
          <w:iCs w:val="1"/>
          <w:color w:val="5B9BD5" w:themeColor="accent5" w:themeTint="FF" w:themeShade="FF"/>
          <w:sz w:val="20"/>
          <w:szCs w:val="20"/>
          <w:lang w:val="en-GB"/>
        </w:rPr>
        <w:t xml:space="preserve">NITAG </w:t>
      </w:r>
      <w:r w:rsidRPr="2DB0A83D" w:rsidR="00B2056D">
        <w:rPr>
          <w:rFonts w:ascii="Times New Roman" w:hAnsi="Times New Roman" w:cs="Times New Roman"/>
          <w:i w:val="1"/>
          <w:iCs w:val="1"/>
          <w:color w:val="5B9BD5" w:themeColor="accent5" w:themeTint="FF" w:themeShade="FF"/>
          <w:sz w:val="20"/>
          <w:szCs w:val="20"/>
          <w:lang w:val="en-GB"/>
        </w:rPr>
        <w:t>activities</w:t>
      </w:r>
      <w:r w:rsidRPr="2DB0A83D" w:rsidR="00324844">
        <w:rPr>
          <w:rFonts w:ascii="Times New Roman" w:hAnsi="Times New Roman" w:cs="Times New Roman"/>
          <w:i w:val="1"/>
          <w:iCs w:val="1"/>
          <w:color w:val="5B9BD5" w:themeColor="accent5" w:themeTint="FF" w:themeShade="FF"/>
          <w:sz w:val="20"/>
          <w:szCs w:val="20"/>
          <w:lang w:val="en-GB"/>
        </w:rPr>
        <w:t xml:space="preserve"> (meetings, documentation, recommendation crafting, training, NITAG experience exchanges, etc.) and costs related to NITAG functioning (travel and accommodation expenses</w:t>
      </w:r>
      <w:r w:rsidRPr="2DB0A83D" w:rsidR="00E13C9C">
        <w:rPr>
          <w:rFonts w:ascii="Times New Roman" w:hAnsi="Times New Roman" w:cs="Times New Roman"/>
          <w:i w:val="1"/>
          <w:iCs w:val="1"/>
          <w:color w:val="5B9BD5" w:themeColor="accent5" w:themeTint="FF" w:themeShade="FF"/>
          <w:sz w:val="20"/>
          <w:szCs w:val="20"/>
          <w:lang w:val="en-GB"/>
        </w:rPr>
        <w:t xml:space="preserve">, </w:t>
      </w:r>
      <w:r w:rsidRPr="2DB0A83D" w:rsidR="00E51A89">
        <w:rPr>
          <w:rFonts w:ascii="Times New Roman" w:hAnsi="Times New Roman" w:cs="Times New Roman"/>
          <w:i w:val="1"/>
          <w:iCs w:val="1"/>
          <w:color w:val="5B9BD5" w:themeColor="accent5" w:themeTint="FF" w:themeShade="FF"/>
          <w:sz w:val="20"/>
          <w:szCs w:val="20"/>
          <w:lang w:val="en-GB"/>
        </w:rPr>
        <w:t>meeting</w:t>
      </w:r>
      <w:r w:rsidRPr="2DB0A83D" w:rsidR="00E13C9C">
        <w:rPr>
          <w:rFonts w:ascii="Times New Roman" w:hAnsi="Times New Roman" w:cs="Times New Roman"/>
          <w:i w:val="1"/>
          <w:iCs w:val="1"/>
          <w:color w:val="5B9BD5" w:themeColor="accent5" w:themeTint="FF" w:themeShade="FF"/>
          <w:sz w:val="20"/>
          <w:szCs w:val="20"/>
          <w:lang w:val="en-GB"/>
        </w:rPr>
        <w:t xml:space="preserve"> locations, etc.</w:t>
      </w:r>
      <w:r w:rsidRPr="2DB0A83D" w:rsidR="00324844">
        <w:rPr>
          <w:rFonts w:ascii="Times New Roman" w:hAnsi="Times New Roman" w:cs="Times New Roman"/>
          <w:i w:val="1"/>
          <w:iCs w:val="1"/>
          <w:color w:val="5B9BD5" w:themeColor="accent5" w:themeTint="FF" w:themeShade="FF"/>
          <w:sz w:val="20"/>
          <w:szCs w:val="20"/>
          <w:lang w:val="en-GB"/>
        </w:rPr>
        <w:t xml:space="preserve">) </w:t>
      </w:r>
      <w:r w:rsidRPr="2DB0A83D" w:rsidR="00FA6B56">
        <w:rPr>
          <w:rFonts w:ascii="Times New Roman" w:hAnsi="Times New Roman" w:cs="Times New Roman"/>
          <w:i w:val="1"/>
          <w:iCs w:val="1"/>
          <w:color w:val="5B9BD5" w:themeColor="accent5" w:themeTint="FF" w:themeShade="FF"/>
          <w:sz w:val="20"/>
          <w:szCs w:val="20"/>
          <w:lang w:val="en-GB"/>
        </w:rPr>
        <w:t xml:space="preserve">which are </w:t>
      </w:r>
      <w:r w:rsidRPr="2DB0A83D" w:rsidR="00B2056D">
        <w:rPr>
          <w:rFonts w:ascii="Times New Roman" w:hAnsi="Times New Roman" w:cs="Times New Roman"/>
          <w:i w:val="1"/>
          <w:iCs w:val="1"/>
          <w:color w:val="5B9BD5" w:themeColor="accent5" w:themeTint="FF" w:themeShade="FF"/>
          <w:sz w:val="20"/>
          <w:szCs w:val="20"/>
          <w:lang w:val="en-GB"/>
        </w:rPr>
        <w:t>specified in the work plan</w:t>
      </w:r>
      <w:r w:rsidRPr="2DB0A83D" w:rsidR="00FA6B56">
        <w:rPr>
          <w:rFonts w:ascii="Times New Roman" w:hAnsi="Times New Roman" w:cs="Times New Roman"/>
          <w:i w:val="1"/>
          <w:iCs w:val="1"/>
          <w:color w:val="5B9BD5" w:themeColor="accent5" w:themeTint="FF" w:themeShade="FF"/>
          <w:sz w:val="20"/>
          <w:szCs w:val="20"/>
          <w:lang w:val="en-GB"/>
        </w:rPr>
        <w:t xml:space="preserve">. The activities </w:t>
      </w:r>
      <w:r w:rsidRPr="2DB0A83D" w:rsidR="00B2056D">
        <w:rPr>
          <w:rFonts w:ascii="Times New Roman" w:hAnsi="Times New Roman" w:cs="Times New Roman"/>
          <w:i w:val="1"/>
          <w:iCs w:val="1"/>
          <w:color w:val="5B9BD5" w:themeColor="accent5" w:themeTint="FF" w:themeShade="FF"/>
          <w:sz w:val="20"/>
          <w:szCs w:val="20"/>
          <w:lang w:val="en-GB"/>
        </w:rPr>
        <w:t xml:space="preserve">should </w:t>
      </w:r>
      <w:r w:rsidRPr="2DB0A83D" w:rsidR="000777D8">
        <w:rPr>
          <w:rFonts w:ascii="Times New Roman" w:hAnsi="Times New Roman" w:cs="Times New Roman"/>
          <w:i w:val="1"/>
          <w:iCs w:val="1"/>
          <w:color w:val="5B9BD5" w:themeColor="accent5" w:themeTint="FF" w:themeShade="FF"/>
          <w:sz w:val="20"/>
          <w:szCs w:val="20"/>
          <w:lang w:val="en-GB"/>
        </w:rPr>
        <w:t>be accompanied by the specific</w:t>
      </w:r>
      <w:r w:rsidRPr="2DB0A83D" w:rsidR="00B2056D">
        <w:rPr>
          <w:rFonts w:ascii="Times New Roman" w:hAnsi="Times New Roman" w:cs="Times New Roman"/>
          <w:i w:val="1"/>
          <w:iCs w:val="1"/>
          <w:color w:val="5B9BD5" w:themeColor="accent5" w:themeTint="FF" w:themeShade="FF"/>
          <w:sz w:val="20"/>
          <w:szCs w:val="20"/>
          <w:lang w:val="en-GB"/>
        </w:rPr>
        <w:t xml:space="preserve"> sources of funding. </w:t>
      </w:r>
    </w:p>
    <w:p w:rsidRPr="00363DD8" w:rsidR="00B2056D" w:rsidP="00B2056D" w:rsidRDefault="00B2056D" w14:paraId="4C423149" w14:textId="7B1FB216">
      <w:pPr>
        <w:jc w:val="both"/>
        <w:rPr>
          <w:rFonts w:ascii="Times New Roman" w:hAnsi="Times New Roman" w:cs="Times New Roman"/>
          <w:i/>
          <w:iCs/>
          <w:color w:val="5B9BD5" w:themeColor="accent5"/>
          <w:sz w:val="20"/>
          <w:szCs w:val="20"/>
          <w:lang w:val="en-GB"/>
        </w:rPr>
      </w:pPr>
      <w:r w:rsidRPr="00363DD8">
        <w:rPr>
          <w:rFonts w:ascii="Times New Roman" w:hAnsi="Times New Roman" w:cs="Times New Roman"/>
          <w:i/>
          <w:iCs/>
          <w:color w:val="5B9BD5" w:themeColor="accent5"/>
          <w:sz w:val="20"/>
          <w:szCs w:val="20"/>
          <w:lang w:val="en-GB"/>
        </w:rPr>
        <w:t xml:space="preserve">A senior level Ministry of Health staff should receive the annual budget </w:t>
      </w:r>
      <w:r w:rsidRPr="00363DD8">
        <w:rPr>
          <w:i/>
          <w:iCs/>
          <w:color w:val="5B9BD5" w:themeColor="accent5"/>
          <w:sz w:val="20"/>
          <w:szCs w:val="20"/>
          <w:lang w:val="en-GB"/>
        </w:rPr>
        <w:t>and a</w:t>
      </w:r>
      <w:r w:rsidRPr="00363DD8">
        <w:rPr>
          <w:rFonts w:ascii="Times New Roman" w:hAnsi="Times New Roman" w:cs="Times New Roman"/>
          <w:i/>
          <w:iCs/>
          <w:color w:val="5B9BD5" w:themeColor="accent5"/>
          <w:sz w:val="20"/>
          <w:szCs w:val="20"/>
          <w:lang w:val="en-GB"/>
        </w:rPr>
        <w:t xml:space="preserve"> budget line for NITAG activities should appear in the overall Ministry of Health budget</w:t>
      </w:r>
      <w:r w:rsidRPr="00363DD8" w:rsidR="00A912A8">
        <w:rPr>
          <w:rFonts w:ascii="Times New Roman" w:hAnsi="Times New Roman" w:cs="Times New Roman"/>
          <w:i/>
          <w:iCs/>
          <w:color w:val="5B9BD5" w:themeColor="accent5"/>
          <w:sz w:val="20"/>
          <w:szCs w:val="20"/>
          <w:lang w:val="en-GB"/>
        </w:rPr>
        <w:t>&gt;</w:t>
      </w:r>
    </w:p>
    <w:p w:rsidRPr="00363DD8" w:rsidR="000607A7" w:rsidP="002E6068" w:rsidRDefault="000607A7" w14:paraId="25EEC719" w14:textId="24C9D952">
      <w:pPr>
        <w:pStyle w:val="NormalWeb"/>
        <w:shd w:val="clear" w:color="auto" w:fill="FFFFFF"/>
        <w:jc w:val="both"/>
        <w:rPr>
          <w:sz w:val="22"/>
          <w:szCs w:val="22"/>
          <w:lang w:val="en-GB"/>
        </w:rPr>
      </w:pPr>
    </w:p>
    <w:p w:rsidRPr="00363DD8" w:rsidR="00490DB3" w:rsidP="002E6068" w:rsidRDefault="00490DB3" w14:paraId="1BA24CB1" w14:textId="667279BA">
      <w:pPr>
        <w:pStyle w:val="NormalWeb"/>
        <w:shd w:val="clear" w:color="auto" w:fill="FFFFFF"/>
        <w:jc w:val="both"/>
        <w:rPr>
          <w:sz w:val="22"/>
          <w:szCs w:val="22"/>
          <w:lang w:val="en-GB"/>
        </w:rPr>
      </w:pPr>
      <w:r w:rsidRPr="00363DD8">
        <w:rPr>
          <w:sz w:val="22"/>
          <w:szCs w:val="22"/>
          <w:lang w:val="en-GB"/>
        </w:rPr>
        <w:t>&lt;insert date and signature / stamp of the secretariat&gt;</w:t>
      </w:r>
    </w:p>
    <w:p w:rsidRPr="00363DD8" w:rsidR="00490DB3" w:rsidP="002E6068" w:rsidRDefault="00490DB3" w14:paraId="50B4D49F" w14:textId="587A0944">
      <w:pPr>
        <w:pStyle w:val="NormalWeb"/>
        <w:shd w:val="clear" w:color="auto" w:fill="FFFFFF"/>
        <w:jc w:val="both"/>
        <w:rPr>
          <w:lang w:val="en-GB"/>
        </w:rPr>
      </w:pPr>
      <w:r w:rsidRPr="00363DD8">
        <w:rPr>
          <w:sz w:val="22"/>
          <w:szCs w:val="22"/>
          <w:u w:val="single"/>
          <w:lang w:val="en-GB"/>
        </w:rPr>
        <w:t>Note</w:t>
      </w:r>
      <w:r w:rsidRPr="00363DD8">
        <w:rPr>
          <w:sz w:val="22"/>
          <w:szCs w:val="22"/>
          <w:lang w:val="en-GB"/>
        </w:rPr>
        <w:t>: Updated SOP must be shared with all members of your NITAG.</w:t>
      </w:r>
    </w:p>
    <w:p w:rsidRPr="00363DD8" w:rsidR="00246CC0" w:rsidP="002E6068" w:rsidRDefault="00246CC0" w14:paraId="4A35CA59" w14:textId="0D20C426">
      <w:pPr>
        <w:spacing w:before="100" w:beforeAutospacing="1" w:after="100" w:afterAutospacing="1"/>
        <w:jc w:val="both"/>
        <w:rPr>
          <w:rFonts w:ascii="Times New Roman" w:hAnsi="Times New Roman" w:eastAsia="Times New Roman" w:cs="Times New Roman"/>
          <w:sz w:val="20"/>
          <w:szCs w:val="20"/>
          <w:lang w:val="en-GB" w:eastAsia="en-GB"/>
        </w:rPr>
      </w:pPr>
      <w:r w:rsidRPr="00363DD8">
        <w:rPr>
          <w:rFonts w:ascii="Times New Roman" w:hAnsi="Times New Roman" w:eastAsia="Times New Roman" w:cs="Times New Roman"/>
          <w:lang w:val="en-GB" w:eastAsia="en-GB"/>
        </w:rPr>
        <w:br/>
      </w:r>
    </w:p>
    <w:p w:rsidRPr="00363DD8" w:rsidR="006F173B" w:rsidP="002E6068" w:rsidRDefault="006F173B" w14:paraId="044E66DC" w14:textId="77777777">
      <w:pPr>
        <w:jc w:val="both"/>
        <w:rPr>
          <w:rFonts w:ascii="Times New Roman" w:hAnsi="Times New Roman" w:cs="Times New Roman"/>
          <w:lang w:val="en-GB"/>
        </w:rPr>
      </w:pPr>
    </w:p>
    <w:sectPr w:rsidRPr="00363DD8" w:rsidR="006F173B">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101"/>
    <w:multiLevelType w:val="multilevel"/>
    <w:tmpl w:val="7100850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484E0F"/>
    <w:multiLevelType w:val="multilevel"/>
    <w:tmpl w:val="9B4E8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7B176B"/>
    <w:multiLevelType w:val="hybridMultilevel"/>
    <w:tmpl w:val="27787B9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8A11797"/>
    <w:multiLevelType w:val="multilevel"/>
    <w:tmpl w:val="72B4E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9411241"/>
    <w:multiLevelType w:val="hybridMultilevel"/>
    <w:tmpl w:val="F6EEA60A"/>
    <w:lvl w:ilvl="0" w:tplc="FED6E56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AE2243"/>
    <w:multiLevelType w:val="multilevel"/>
    <w:tmpl w:val="58AE6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05841AA"/>
    <w:multiLevelType w:val="hybridMultilevel"/>
    <w:tmpl w:val="9A30B494"/>
    <w:lvl w:ilvl="0" w:tplc="16A4138E">
      <w:start w:val="1"/>
      <w:numFmt w:val="bullet"/>
      <w:lvlText w:val="ü"/>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FA5517"/>
    <w:multiLevelType w:val="hybridMultilevel"/>
    <w:tmpl w:val="377055BC"/>
    <w:lvl w:ilvl="0" w:tplc="94EC9148">
      <w:start w:val="1"/>
      <w:numFmt w:val="bullet"/>
      <w:lvlText w:val="Ø"/>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F56F88"/>
    <w:multiLevelType w:val="multilevel"/>
    <w:tmpl w:val="2BEC4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D72DE0"/>
    <w:multiLevelType w:val="multilevel"/>
    <w:tmpl w:val="3B883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BAB7024"/>
    <w:multiLevelType w:val="multilevel"/>
    <w:tmpl w:val="B7247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B590C0F"/>
    <w:multiLevelType w:val="multilevel"/>
    <w:tmpl w:val="7760F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9BF6B72"/>
    <w:multiLevelType w:val="multilevel"/>
    <w:tmpl w:val="A0C05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EE26EDC"/>
    <w:multiLevelType w:val="multilevel"/>
    <w:tmpl w:val="798C6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FB33C6C"/>
    <w:multiLevelType w:val="multilevel"/>
    <w:tmpl w:val="7166D2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2"/>
  </w:num>
  <w:num w:numId="2">
    <w:abstractNumId w:val="0"/>
  </w:num>
  <w:num w:numId="3">
    <w:abstractNumId w:val="0"/>
  </w:num>
  <w:num w:numId="4">
    <w:abstractNumId w:val="11"/>
  </w:num>
  <w:num w:numId="5">
    <w:abstractNumId w:val="3"/>
  </w:num>
  <w:num w:numId="6">
    <w:abstractNumId w:val="14"/>
  </w:num>
  <w:num w:numId="7">
    <w:abstractNumId w:val="13"/>
  </w:num>
  <w:num w:numId="8">
    <w:abstractNumId w:val="10"/>
  </w:num>
  <w:num w:numId="9">
    <w:abstractNumId w:val="1"/>
  </w:num>
  <w:num w:numId="10">
    <w:abstractNumId w:val="2"/>
  </w:num>
  <w:num w:numId="11">
    <w:abstractNumId w:val="9"/>
  </w:num>
  <w:num w:numId="12">
    <w:abstractNumId w:val="5"/>
  </w:num>
  <w:num w:numId="13">
    <w:abstractNumId w:val="4"/>
  </w:num>
  <w:num w:numId="14">
    <w:abstractNumId w:val="8"/>
  </w:num>
  <w:num w:numId="15">
    <w:abstractNumId w:val="6"/>
  </w:num>
  <w:num w:numId="16">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1A"/>
    <w:rsid w:val="0002371C"/>
    <w:rsid w:val="00043B10"/>
    <w:rsid w:val="000607A7"/>
    <w:rsid w:val="00067953"/>
    <w:rsid w:val="000777D8"/>
    <w:rsid w:val="000868A0"/>
    <w:rsid w:val="0009198B"/>
    <w:rsid w:val="000C7CA7"/>
    <w:rsid w:val="000D65E5"/>
    <w:rsid w:val="000E30B6"/>
    <w:rsid w:val="000E72DC"/>
    <w:rsid w:val="00102EB4"/>
    <w:rsid w:val="001214DC"/>
    <w:rsid w:val="00150E64"/>
    <w:rsid w:val="001D1D1F"/>
    <w:rsid w:val="0022240F"/>
    <w:rsid w:val="00246CC0"/>
    <w:rsid w:val="00254FE6"/>
    <w:rsid w:val="00280BC0"/>
    <w:rsid w:val="002E6068"/>
    <w:rsid w:val="002E724B"/>
    <w:rsid w:val="003017BC"/>
    <w:rsid w:val="00324844"/>
    <w:rsid w:val="00363DD8"/>
    <w:rsid w:val="00390DB1"/>
    <w:rsid w:val="003C1234"/>
    <w:rsid w:val="003D663D"/>
    <w:rsid w:val="003E3060"/>
    <w:rsid w:val="0040109D"/>
    <w:rsid w:val="00401DE0"/>
    <w:rsid w:val="00406263"/>
    <w:rsid w:val="0043625B"/>
    <w:rsid w:val="0044308C"/>
    <w:rsid w:val="0048529F"/>
    <w:rsid w:val="00490DB3"/>
    <w:rsid w:val="004A1769"/>
    <w:rsid w:val="004A448C"/>
    <w:rsid w:val="004A509C"/>
    <w:rsid w:val="004D5487"/>
    <w:rsid w:val="004E4875"/>
    <w:rsid w:val="004F035F"/>
    <w:rsid w:val="004F27D5"/>
    <w:rsid w:val="00504387"/>
    <w:rsid w:val="00563F97"/>
    <w:rsid w:val="00571D45"/>
    <w:rsid w:val="005C7082"/>
    <w:rsid w:val="005D39C1"/>
    <w:rsid w:val="00640D74"/>
    <w:rsid w:val="00653DCA"/>
    <w:rsid w:val="00663860"/>
    <w:rsid w:val="00675472"/>
    <w:rsid w:val="00676D85"/>
    <w:rsid w:val="006A4BB7"/>
    <w:rsid w:val="006A586C"/>
    <w:rsid w:val="006B1A1A"/>
    <w:rsid w:val="006F173B"/>
    <w:rsid w:val="006F5118"/>
    <w:rsid w:val="00714EEF"/>
    <w:rsid w:val="00715868"/>
    <w:rsid w:val="00716DE7"/>
    <w:rsid w:val="00722AEE"/>
    <w:rsid w:val="00791F64"/>
    <w:rsid w:val="007A3B88"/>
    <w:rsid w:val="007A6E2A"/>
    <w:rsid w:val="007B33B6"/>
    <w:rsid w:val="007E245C"/>
    <w:rsid w:val="008110C8"/>
    <w:rsid w:val="0084188F"/>
    <w:rsid w:val="0086204F"/>
    <w:rsid w:val="00892667"/>
    <w:rsid w:val="008B5078"/>
    <w:rsid w:val="00913633"/>
    <w:rsid w:val="00930922"/>
    <w:rsid w:val="009644DF"/>
    <w:rsid w:val="00994508"/>
    <w:rsid w:val="009B37CF"/>
    <w:rsid w:val="009C2EBF"/>
    <w:rsid w:val="009F544F"/>
    <w:rsid w:val="00A071AB"/>
    <w:rsid w:val="00A17FC6"/>
    <w:rsid w:val="00A21466"/>
    <w:rsid w:val="00A24E84"/>
    <w:rsid w:val="00A34F9C"/>
    <w:rsid w:val="00A3526C"/>
    <w:rsid w:val="00A60530"/>
    <w:rsid w:val="00A912A8"/>
    <w:rsid w:val="00A96EAE"/>
    <w:rsid w:val="00AD4777"/>
    <w:rsid w:val="00B2056D"/>
    <w:rsid w:val="00B22766"/>
    <w:rsid w:val="00B74B58"/>
    <w:rsid w:val="00BD1AA0"/>
    <w:rsid w:val="00C05950"/>
    <w:rsid w:val="00C507C8"/>
    <w:rsid w:val="00C54F77"/>
    <w:rsid w:val="00C707AA"/>
    <w:rsid w:val="00CD3F05"/>
    <w:rsid w:val="00CF3438"/>
    <w:rsid w:val="00CF57D7"/>
    <w:rsid w:val="00D36AF6"/>
    <w:rsid w:val="00D65D85"/>
    <w:rsid w:val="00DA024A"/>
    <w:rsid w:val="00DA672A"/>
    <w:rsid w:val="00DB42F7"/>
    <w:rsid w:val="00DC01E8"/>
    <w:rsid w:val="00DD1F6B"/>
    <w:rsid w:val="00DD2B53"/>
    <w:rsid w:val="00DE101F"/>
    <w:rsid w:val="00E13C9C"/>
    <w:rsid w:val="00E51A89"/>
    <w:rsid w:val="00E7783D"/>
    <w:rsid w:val="00E80279"/>
    <w:rsid w:val="00E9216C"/>
    <w:rsid w:val="00E96DA2"/>
    <w:rsid w:val="00ED0A68"/>
    <w:rsid w:val="00EE4BDA"/>
    <w:rsid w:val="00EF534E"/>
    <w:rsid w:val="00F10CEC"/>
    <w:rsid w:val="00F561DB"/>
    <w:rsid w:val="00F9778D"/>
    <w:rsid w:val="00FA6B56"/>
    <w:rsid w:val="00FE661B"/>
    <w:rsid w:val="149556A7"/>
    <w:rsid w:val="17CCF769"/>
    <w:rsid w:val="1968C7CA"/>
    <w:rsid w:val="2DB0A83D"/>
    <w:rsid w:val="375CD699"/>
    <w:rsid w:val="441E79C0"/>
    <w:rsid w:val="4C106348"/>
    <w:rsid w:val="5B3692A5"/>
    <w:rsid w:val="63898B89"/>
    <w:rsid w:val="7AE98B6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1F3C0C5E"/>
  <w15:chartTrackingRefBased/>
  <w15:docId w15:val="{9532A5E4-7865-324D-912F-7DC81BF6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46CC0"/>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C707AA"/>
    <w:pPr>
      <w:ind w:left="720"/>
      <w:contextualSpacing/>
    </w:pPr>
    <w:rPr>
      <w:lang w:val="en-US"/>
    </w:rPr>
  </w:style>
  <w:style w:type="table" w:styleId="TableGrid">
    <w:name w:val="Table Grid"/>
    <w:basedOn w:val="TableNormal"/>
    <w:uiPriority w:val="39"/>
    <w:rsid w:val="00C707AA"/>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707AA"/>
    <w:rPr>
      <w:sz w:val="16"/>
      <w:szCs w:val="16"/>
    </w:rPr>
  </w:style>
  <w:style w:type="paragraph" w:styleId="CommentText">
    <w:name w:val="annotation text"/>
    <w:basedOn w:val="Normal"/>
    <w:link w:val="CommentTextChar"/>
    <w:uiPriority w:val="99"/>
    <w:semiHidden/>
    <w:unhideWhenUsed/>
    <w:rsid w:val="00C707AA"/>
    <w:rPr>
      <w:sz w:val="20"/>
      <w:szCs w:val="20"/>
      <w:lang w:val="en-US"/>
    </w:rPr>
  </w:style>
  <w:style w:type="character" w:styleId="CommentTextChar" w:customStyle="1">
    <w:name w:val="Comment Text Char"/>
    <w:basedOn w:val="DefaultParagraphFont"/>
    <w:link w:val="CommentText"/>
    <w:uiPriority w:val="99"/>
    <w:semiHidden/>
    <w:rsid w:val="00C707AA"/>
    <w:rPr>
      <w:sz w:val="20"/>
      <w:szCs w:val="20"/>
      <w:lang w:val="en-US"/>
    </w:rPr>
  </w:style>
  <w:style w:type="character" w:styleId="Hyperlink">
    <w:name w:val="Hyperlink"/>
    <w:basedOn w:val="DefaultParagraphFont"/>
    <w:uiPriority w:val="99"/>
    <w:unhideWhenUsed/>
    <w:rsid w:val="00254FE6"/>
    <w:rPr>
      <w:color w:val="0563C1" w:themeColor="hyperlink"/>
      <w:u w:val="single"/>
    </w:rPr>
  </w:style>
  <w:style w:type="character" w:styleId="FollowedHyperlink">
    <w:name w:val="FollowedHyperlink"/>
    <w:basedOn w:val="DefaultParagraphFont"/>
    <w:uiPriority w:val="99"/>
    <w:semiHidden/>
    <w:unhideWhenUsed/>
    <w:rsid w:val="00254FE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0BC0"/>
    <w:rPr>
      <w:b/>
      <w:bCs/>
    </w:rPr>
  </w:style>
  <w:style w:type="character" w:styleId="CommentSubjectChar" w:customStyle="1">
    <w:name w:val="Comment Subject Char"/>
    <w:basedOn w:val="CommentTextChar"/>
    <w:link w:val="CommentSubject"/>
    <w:uiPriority w:val="99"/>
    <w:semiHidden/>
    <w:rsid w:val="00280BC0"/>
    <w:rPr>
      <w:b/>
      <w:bCs/>
      <w:sz w:val="20"/>
      <w:szCs w:val="20"/>
      <w:lang w:val="en-US"/>
    </w:rPr>
  </w:style>
  <w:style w:type="character" w:styleId="UnresolvedMention">
    <w:name w:val="Unresolved Mention"/>
    <w:basedOn w:val="DefaultParagraphFont"/>
    <w:uiPriority w:val="99"/>
    <w:semiHidden/>
    <w:unhideWhenUsed/>
    <w:rsid w:val="00150E64"/>
    <w:rPr>
      <w:color w:val="605E5C"/>
      <w:shd w:val="clear" w:color="auto" w:fill="E1DFDD"/>
    </w:rPr>
  </w:style>
  <w:style w:type="paragraph" w:styleId="Revision">
    <w:name w:val="Revision"/>
    <w:hidden/>
    <w:uiPriority w:val="99"/>
    <w:semiHidden/>
    <w:rsid w:val="003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12067">
      <w:bodyDiv w:val="1"/>
      <w:marLeft w:val="0"/>
      <w:marRight w:val="0"/>
      <w:marTop w:val="0"/>
      <w:marBottom w:val="0"/>
      <w:divBdr>
        <w:top w:val="none" w:sz="0" w:space="0" w:color="auto"/>
        <w:left w:val="none" w:sz="0" w:space="0" w:color="auto"/>
        <w:bottom w:val="none" w:sz="0" w:space="0" w:color="auto"/>
        <w:right w:val="none" w:sz="0" w:space="0" w:color="auto"/>
      </w:divBdr>
      <w:divsChild>
        <w:div w:id="1339699384">
          <w:marLeft w:val="0"/>
          <w:marRight w:val="0"/>
          <w:marTop w:val="0"/>
          <w:marBottom w:val="0"/>
          <w:divBdr>
            <w:top w:val="none" w:sz="0" w:space="0" w:color="auto"/>
            <w:left w:val="none" w:sz="0" w:space="0" w:color="auto"/>
            <w:bottom w:val="none" w:sz="0" w:space="0" w:color="auto"/>
            <w:right w:val="none" w:sz="0" w:space="0" w:color="auto"/>
          </w:divBdr>
          <w:divsChild>
            <w:div w:id="2066567158">
              <w:marLeft w:val="0"/>
              <w:marRight w:val="0"/>
              <w:marTop w:val="0"/>
              <w:marBottom w:val="0"/>
              <w:divBdr>
                <w:top w:val="none" w:sz="0" w:space="0" w:color="auto"/>
                <w:left w:val="none" w:sz="0" w:space="0" w:color="auto"/>
                <w:bottom w:val="none" w:sz="0" w:space="0" w:color="auto"/>
                <w:right w:val="none" w:sz="0" w:space="0" w:color="auto"/>
              </w:divBdr>
              <w:divsChild>
                <w:div w:id="2048799437">
                  <w:marLeft w:val="0"/>
                  <w:marRight w:val="0"/>
                  <w:marTop w:val="0"/>
                  <w:marBottom w:val="0"/>
                  <w:divBdr>
                    <w:top w:val="none" w:sz="0" w:space="0" w:color="auto"/>
                    <w:left w:val="none" w:sz="0" w:space="0" w:color="auto"/>
                    <w:bottom w:val="none" w:sz="0" w:space="0" w:color="auto"/>
                    <w:right w:val="none" w:sz="0" w:space="0" w:color="auto"/>
                  </w:divBdr>
                </w:div>
              </w:divsChild>
            </w:div>
            <w:div w:id="1255474435">
              <w:marLeft w:val="0"/>
              <w:marRight w:val="0"/>
              <w:marTop w:val="0"/>
              <w:marBottom w:val="0"/>
              <w:divBdr>
                <w:top w:val="none" w:sz="0" w:space="0" w:color="auto"/>
                <w:left w:val="none" w:sz="0" w:space="0" w:color="auto"/>
                <w:bottom w:val="none" w:sz="0" w:space="0" w:color="auto"/>
                <w:right w:val="none" w:sz="0" w:space="0" w:color="auto"/>
              </w:divBdr>
              <w:divsChild>
                <w:div w:id="1028528329">
                  <w:marLeft w:val="0"/>
                  <w:marRight w:val="0"/>
                  <w:marTop w:val="0"/>
                  <w:marBottom w:val="0"/>
                  <w:divBdr>
                    <w:top w:val="none" w:sz="0" w:space="0" w:color="auto"/>
                    <w:left w:val="none" w:sz="0" w:space="0" w:color="auto"/>
                    <w:bottom w:val="none" w:sz="0" w:space="0" w:color="auto"/>
                    <w:right w:val="none" w:sz="0" w:space="0" w:color="auto"/>
                  </w:divBdr>
                </w:div>
                <w:div w:id="2005550117">
                  <w:marLeft w:val="0"/>
                  <w:marRight w:val="0"/>
                  <w:marTop w:val="0"/>
                  <w:marBottom w:val="0"/>
                  <w:divBdr>
                    <w:top w:val="none" w:sz="0" w:space="0" w:color="auto"/>
                    <w:left w:val="none" w:sz="0" w:space="0" w:color="auto"/>
                    <w:bottom w:val="none" w:sz="0" w:space="0" w:color="auto"/>
                    <w:right w:val="none" w:sz="0" w:space="0" w:color="auto"/>
                  </w:divBdr>
                </w:div>
              </w:divsChild>
            </w:div>
            <w:div w:id="1838688550">
              <w:marLeft w:val="0"/>
              <w:marRight w:val="0"/>
              <w:marTop w:val="0"/>
              <w:marBottom w:val="0"/>
              <w:divBdr>
                <w:top w:val="none" w:sz="0" w:space="0" w:color="auto"/>
                <w:left w:val="none" w:sz="0" w:space="0" w:color="auto"/>
                <w:bottom w:val="none" w:sz="0" w:space="0" w:color="auto"/>
                <w:right w:val="none" w:sz="0" w:space="0" w:color="auto"/>
              </w:divBdr>
              <w:divsChild>
                <w:div w:id="1494567804">
                  <w:marLeft w:val="0"/>
                  <w:marRight w:val="0"/>
                  <w:marTop w:val="0"/>
                  <w:marBottom w:val="0"/>
                  <w:divBdr>
                    <w:top w:val="none" w:sz="0" w:space="0" w:color="auto"/>
                    <w:left w:val="none" w:sz="0" w:space="0" w:color="auto"/>
                    <w:bottom w:val="none" w:sz="0" w:space="0" w:color="auto"/>
                    <w:right w:val="none" w:sz="0" w:space="0" w:color="auto"/>
                  </w:divBdr>
                </w:div>
              </w:divsChild>
            </w:div>
            <w:div w:id="921911906">
              <w:marLeft w:val="0"/>
              <w:marRight w:val="0"/>
              <w:marTop w:val="0"/>
              <w:marBottom w:val="0"/>
              <w:divBdr>
                <w:top w:val="none" w:sz="0" w:space="0" w:color="auto"/>
                <w:left w:val="none" w:sz="0" w:space="0" w:color="auto"/>
                <w:bottom w:val="none" w:sz="0" w:space="0" w:color="auto"/>
                <w:right w:val="none" w:sz="0" w:space="0" w:color="auto"/>
              </w:divBdr>
              <w:divsChild>
                <w:div w:id="551308638">
                  <w:marLeft w:val="0"/>
                  <w:marRight w:val="0"/>
                  <w:marTop w:val="0"/>
                  <w:marBottom w:val="0"/>
                  <w:divBdr>
                    <w:top w:val="none" w:sz="0" w:space="0" w:color="auto"/>
                    <w:left w:val="none" w:sz="0" w:space="0" w:color="auto"/>
                    <w:bottom w:val="none" w:sz="0" w:space="0" w:color="auto"/>
                    <w:right w:val="none" w:sz="0" w:space="0" w:color="auto"/>
                  </w:divBdr>
                </w:div>
                <w:div w:id="856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4650">
          <w:marLeft w:val="0"/>
          <w:marRight w:val="0"/>
          <w:marTop w:val="0"/>
          <w:marBottom w:val="0"/>
          <w:divBdr>
            <w:top w:val="none" w:sz="0" w:space="0" w:color="auto"/>
            <w:left w:val="none" w:sz="0" w:space="0" w:color="auto"/>
            <w:bottom w:val="none" w:sz="0" w:space="0" w:color="auto"/>
            <w:right w:val="none" w:sz="0" w:space="0" w:color="auto"/>
          </w:divBdr>
          <w:divsChild>
            <w:div w:id="94980124">
              <w:marLeft w:val="0"/>
              <w:marRight w:val="0"/>
              <w:marTop w:val="0"/>
              <w:marBottom w:val="0"/>
              <w:divBdr>
                <w:top w:val="none" w:sz="0" w:space="0" w:color="auto"/>
                <w:left w:val="none" w:sz="0" w:space="0" w:color="auto"/>
                <w:bottom w:val="none" w:sz="0" w:space="0" w:color="auto"/>
                <w:right w:val="none" w:sz="0" w:space="0" w:color="auto"/>
              </w:divBdr>
              <w:divsChild>
                <w:div w:id="703290454">
                  <w:marLeft w:val="0"/>
                  <w:marRight w:val="0"/>
                  <w:marTop w:val="0"/>
                  <w:marBottom w:val="0"/>
                  <w:divBdr>
                    <w:top w:val="none" w:sz="0" w:space="0" w:color="auto"/>
                    <w:left w:val="none" w:sz="0" w:space="0" w:color="auto"/>
                    <w:bottom w:val="none" w:sz="0" w:space="0" w:color="auto"/>
                    <w:right w:val="none" w:sz="0" w:space="0" w:color="auto"/>
                  </w:divBdr>
                </w:div>
              </w:divsChild>
            </w:div>
            <w:div w:id="1870794863">
              <w:marLeft w:val="0"/>
              <w:marRight w:val="0"/>
              <w:marTop w:val="0"/>
              <w:marBottom w:val="0"/>
              <w:divBdr>
                <w:top w:val="none" w:sz="0" w:space="0" w:color="auto"/>
                <w:left w:val="none" w:sz="0" w:space="0" w:color="auto"/>
                <w:bottom w:val="none" w:sz="0" w:space="0" w:color="auto"/>
                <w:right w:val="none" w:sz="0" w:space="0" w:color="auto"/>
              </w:divBdr>
              <w:divsChild>
                <w:div w:id="1982614776">
                  <w:marLeft w:val="0"/>
                  <w:marRight w:val="0"/>
                  <w:marTop w:val="0"/>
                  <w:marBottom w:val="0"/>
                  <w:divBdr>
                    <w:top w:val="none" w:sz="0" w:space="0" w:color="auto"/>
                    <w:left w:val="none" w:sz="0" w:space="0" w:color="auto"/>
                    <w:bottom w:val="none" w:sz="0" w:space="0" w:color="auto"/>
                    <w:right w:val="none" w:sz="0" w:space="0" w:color="auto"/>
                  </w:divBdr>
                </w:div>
              </w:divsChild>
            </w:div>
            <w:div w:id="1215118764">
              <w:marLeft w:val="0"/>
              <w:marRight w:val="0"/>
              <w:marTop w:val="0"/>
              <w:marBottom w:val="0"/>
              <w:divBdr>
                <w:top w:val="none" w:sz="0" w:space="0" w:color="auto"/>
                <w:left w:val="none" w:sz="0" w:space="0" w:color="auto"/>
                <w:bottom w:val="none" w:sz="0" w:space="0" w:color="auto"/>
                <w:right w:val="none" w:sz="0" w:space="0" w:color="auto"/>
              </w:divBdr>
              <w:divsChild>
                <w:div w:id="7038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533">
          <w:marLeft w:val="0"/>
          <w:marRight w:val="0"/>
          <w:marTop w:val="0"/>
          <w:marBottom w:val="0"/>
          <w:divBdr>
            <w:top w:val="none" w:sz="0" w:space="0" w:color="auto"/>
            <w:left w:val="none" w:sz="0" w:space="0" w:color="auto"/>
            <w:bottom w:val="none" w:sz="0" w:space="0" w:color="auto"/>
            <w:right w:val="none" w:sz="0" w:space="0" w:color="auto"/>
          </w:divBdr>
          <w:divsChild>
            <w:div w:id="2103529364">
              <w:marLeft w:val="0"/>
              <w:marRight w:val="0"/>
              <w:marTop w:val="0"/>
              <w:marBottom w:val="0"/>
              <w:divBdr>
                <w:top w:val="none" w:sz="0" w:space="0" w:color="auto"/>
                <w:left w:val="none" w:sz="0" w:space="0" w:color="auto"/>
                <w:bottom w:val="none" w:sz="0" w:space="0" w:color="auto"/>
                <w:right w:val="none" w:sz="0" w:space="0" w:color="auto"/>
              </w:divBdr>
              <w:divsChild>
                <w:div w:id="1560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910">
          <w:marLeft w:val="0"/>
          <w:marRight w:val="0"/>
          <w:marTop w:val="0"/>
          <w:marBottom w:val="0"/>
          <w:divBdr>
            <w:top w:val="none" w:sz="0" w:space="0" w:color="auto"/>
            <w:left w:val="none" w:sz="0" w:space="0" w:color="auto"/>
            <w:bottom w:val="none" w:sz="0" w:space="0" w:color="auto"/>
            <w:right w:val="none" w:sz="0" w:space="0" w:color="auto"/>
          </w:divBdr>
          <w:divsChild>
            <w:div w:id="1148861673">
              <w:marLeft w:val="0"/>
              <w:marRight w:val="0"/>
              <w:marTop w:val="0"/>
              <w:marBottom w:val="0"/>
              <w:divBdr>
                <w:top w:val="none" w:sz="0" w:space="0" w:color="auto"/>
                <w:left w:val="none" w:sz="0" w:space="0" w:color="auto"/>
                <w:bottom w:val="none" w:sz="0" w:space="0" w:color="auto"/>
                <w:right w:val="none" w:sz="0" w:space="0" w:color="auto"/>
              </w:divBdr>
              <w:divsChild>
                <w:div w:id="12679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1331">
          <w:marLeft w:val="0"/>
          <w:marRight w:val="0"/>
          <w:marTop w:val="0"/>
          <w:marBottom w:val="0"/>
          <w:divBdr>
            <w:top w:val="none" w:sz="0" w:space="0" w:color="auto"/>
            <w:left w:val="none" w:sz="0" w:space="0" w:color="auto"/>
            <w:bottom w:val="none" w:sz="0" w:space="0" w:color="auto"/>
            <w:right w:val="none" w:sz="0" w:space="0" w:color="auto"/>
          </w:divBdr>
          <w:divsChild>
            <w:div w:id="1483306857">
              <w:marLeft w:val="0"/>
              <w:marRight w:val="0"/>
              <w:marTop w:val="0"/>
              <w:marBottom w:val="0"/>
              <w:divBdr>
                <w:top w:val="none" w:sz="0" w:space="0" w:color="auto"/>
                <w:left w:val="none" w:sz="0" w:space="0" w:color="auto"/>
                <w:bottom w:val="none" w:sz="0" w:space="0" w:color="auto"/>
                <w:right w:val="none" w:sz="0" w:space="0" w:color="auto"/>
              </w:divBdr>
              <w:divsChild>
                <w:div w:id="10035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5207">
      <w:bodyDiv w:val="1"/>
      <w:marLeft w:val="0"/>
      <w:marRight w:val="0"/>
      <w:marTop w:val="0"/>
      <w:marBottom w:val="0"/>
      <w:divBdr>
        <w:top w:val="none" w:sz="0" w:space="0" w:color="auto"/>
        <w:left w:val="none" w:sz="0" w:space="0" w:color="auto"/>
        <w:bottom w:val="none" w:sz="0" w:space="0" w:color="auto"/>
        <w:right w:val="none" w:sz="0" w:space="0" w:color="auto"/>
      </w:divBdr>
      <w:divsChild>
        <w:div w:id="384371889">
          <w:marLeft w:val="0"/>
          <w:marRight w:val="0"/>
          <w:marTop w:val="0"/>
          <w:marBottom w:val="0"/>
          <w:divBdr>
            <w:top w:val="none" w:sz="0" w:space="0" w:color="auto"/>
            <w:left w:val="none" w:sz="0" w:space="0" w:color="auto"/>
            <w:bottom w:val="none" w:sz="0" w:space="0" w:color="auto"/>
            <w:right w:val="none" w:sz="0" w:space="0" w:color="auto"/>
          </w:divBdr>
          <w:divsChild>
            <w:div w:id="1778020697">
              <w:marLeft w:val="0"/>
              <w:marRight w:val="0"/>
              <w:marTop w:val="0"/>
              <w:marBottom w:val="0"/>
              <w:divBdr>
                <w:top w:val="none" w:sz="0" w:space="0" w:color="auto"/>
                <w:left w:val="none" w:sz="0" w:space="0" w:color="auto"/>
                <w:bottom w:val="none" w:sz="0" w:space="0" w:color="auto"/>
                <w:right w:val="none" w:sz="0" w:space="0" w:color="auto"/>
              </w:divBdr>
              <w:divsChild>
                <w:div w:id="11384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acunas.minsal.cl/wp-content/uploads/2017/02/Reglamento-interno-CAVEI-2015.pdf" TargetMode="External" Id="rId8" /><Relationship Type="http://schemas.microsoft.com/office/2016/09/relationships/commentsIds" Target="commentsIds.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nitag-resource.org/sites/default/files/2020-09/acip-charter.pdf" TargetMode="Externa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www.nitag-resource.org/sites/default/files/4bf1afea4cb2a584d4614070bf37d6db0c9430a7_1.pdf" TargetMode="External" Id="rId6" /><Relationship Type="http://schemas.openxmlformats.org/officeDocument/2006/relationships/hyperlink" Target="https://www.nitag-resource.org/sites/default/files/9a8a000924df684744ca9c9868aff060d66058d5_1.pdf" TargetMode="External" Id="rId5" /><Relationship Type="http://schemas.openxmlformats.org/officeDocument/2006/relationships/fontTable" Target="fontTable.xml" Id="rId15" /><Relationship Type="http://schemas.openxmlformats.org/officeDocument/2006/relationships/hyperlink" Target="https://www.nitag-resource.org/sites/default/files/a1d220d7de248969cd9f7a21c2dbddc19df7f603_1.pdf"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nitag-resource.org/sites/default/files/40dbda9854dabf66e97a497d575622bbe1a8b110_2.pdf" TargetMode="External" Id="rId9" /><Relationship Type="http://schemas.openxmlformats.org/officeDocument/2006/relationships/hyperlink" Target="https://www.nitag-resource.org/training/maintaining-solid-secretariat-and-processes/how-run-nitag-secretariat" TargetMode="External" Id="R8d5a6b2733614de1" /><Relationship Type="http://schemas.openxmlformats.org/officeDocument/2006/relationships/hyperlink" Target="https://www.nitag-resource.org/training/maintaining-solid-secretariat-and-processes/how-run-nitag-secretariat" TargetMode="External" Id="R0fa16964ea2d47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29E3F1F515B4C96D8D0F6CF7FA135" ma:contentTypeVersion="9" ma:contentTypeDescription="Create a new document." ma:contentTypeScope="" ma:versionID="6321f2f1a2d5b43391f50d8d9d52b03f">
  <xsd:schema xmlns:xsd="http://www.w3.org/2001/XMLSchema" xmlns:xs="http://www.w3.org/2001/XMLSchema" xmlns:p="http://schemas.microsoft.com/office/2006/metadata/properties" xmlns:ns2="258f4466-2bc1-473d-823c-f8b62c8cf93d" xmlns:ns3="56e11769-c028-499d-b97c-a5ed431e8f14" targetNamespace="http://schemas.microsoft.com/office/2006/metadata/properties" ma:root="true" ma:fieldsID="55fecdc70c630ca6f80eedbc5c26e82f" ns2:_="" ns3:_="">
    <xsd:import namespace="258f4466-2bc1-473d-823c-f8b62c8cf93d"/>
    <xsd:import namespace="56e11769-c028-499d-b97c-a5ed431e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4466-2bc1-473d-823c-f8b62c8cf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11769-c028-499d-b97c-a5ed431e8f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07D24-144D-4E64-8C33-F74B334728C8}"/>
</file>

<file path=customXml/itemProps2.xml><?xml version="1.0" encoding="utf-8"?>
<ds:datastoreItem xmlns:ds="http://schemas.openxmlformats.org/officeDocument/2006/customXml" ds:itemID="{0A43FDED-D345-4851-942D-7B1DC5BFF0D7}"/>
</file>

<file path=customXml/itemProps3.xml><?xml version="1.0" encoding="utf-8"?>
<ds:datastoreItem xmlns:ds="http://schemas.openxmlformats.org/officeDocument/2006/customXml" ds:itemID="{D8AEE09C-1A93-4192-860D-920071F5DF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Pooja Pradeep</dc:creator>
  <keywords/>
  <dc:description/>
  <lastModifiedBy>HENAFF, Louise</lastModifiedBy>
  <revision>147</revision>
  <dcterms:created xsi:type="dcterms:W3CDTF">2021-07-17T20:55:00.0000000Z</dcterms:created>
  <dcterms:modified xsi:type="dcterms:W3CDTF">2022-09-26T13:58:48.9651142Z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0x01010082829E3F1F515B4C96D8D0F6CF7FA135</vt:lpwstr>
  </property>
</Properties>
</file>